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66462E">
      <w:pPr>
        <w:pStyle w:val="3"/>
        <w:spacing w:before="120" w:after="120" w:line="26" w:lineRule="atLeast"/>
        <w:rPr>
          <w:rtl/>
        </w:rPr>
      </w:pPr>
      <w:r w:rsidRPr="00A26E75">
        <w:rPr>
          <w:rtl/>
        </w:rPr>
        <w:t>מדריך למורה</w:t>
      </w:r>
    </w:p>
    <w:p w:rsidR="008505C7" w:rsidRPr="00A26E75" w:rsidRDefault="008505C7" w:rsidP="0066462E">
      <w:pPr>
        <w:pStyle w:val="3"/>
        <w:spacing w:before="120" w:after="120" w:line="26" w:lineRule="atLeast"/>
        <w:rPr>
          <w:rtl/>
        </w:rPr>
      </w:pPr>
      <w:bookmarkStart w:id="0" w:name="_GoBack"/>
      <w:bookmarkEnd w:id="0"/>
      <w:r w:rsidRPr="00A26E75">
        <w:rPr>
          <w:rtl/>
        </w:rPr>
        <w:t xml:space="preserve">מסכת </w:t>
      </w:r>
      <w:r w:rsidR="006226C2">
        <w:rPr>
          <w:rFonts w:hint="cs"/>
          <w:rtl/>
        </w:rPr>
        <w:t>תענית פרק א משנה ו (ב)</w:t>
      </w:r>
    </w:p>
    <w:p w:rsidR="00A23042" w:rsidRDefault="006226C2" w:rsidP="0066462E">
      <w:pPr>
        <w:pStyle w:val="1"/>
        <w:spacing w:line="26" w:lineRule="atLeast"/>
        <w:rPr>
          <w:rtl/>
        </w:rPr>
      </w:pPr>
      <w:r>
        <w:rPr>
          <w:rtl/>
        </w:rPr>
        <w:t>שבע תעניות ציבור נוספות בזמן עצירת גשמים</w:t>
      </w:r>
    </w:p>
    <w:p w:rsidR="006226C2" w:rsidRPr="006226C2" w:rsidRDefault="006226C2" w:rsidP="0066462E">
      <w:pPr>
        <w:spacing w:before="120" w:after="120" w:line="26" w:lineRule="atLeast"/>
        <w:rPr>
          <w:rtl/>
        </w:rPr>
      </w:pPr>
    </w:p>
    <w:p w:rsidR="00A23042" w:rsidRPr="00A26E75" w:rsidRDefault="00A23042" w:rsidP="0066462E">
      <w:pPr>
        <w:spacing w:before="120" w:after="120" w:line="26" w:lineRule="atLeast"/>
        <w:rPr>
          <w:rtl/>
        </w:rPr>
      </w:pPr>
      <w:r w:rsidRPr="00A26E75">
        <w:rPr>
          <w:b/>
          <w:bCs/>
          <w:rtl/>
        </w:rPr>
        <w:t>משך ההוראה</w:t>
      </w:r>
      <w:r w:rsidRPr="00A26E75">
        <w:rPr>
          <w:rtl/>
        </w:rPr>
        <w:t xml:space="preserve">: </w:t>
      </w:r>
      <w:r w:rsidR="006226C2">
        <w:rPr>
          <w:rFonts w:hint="cs"/>
          <w:rtl/>
        </w:rPr>
        <w:t>שיעור אחד</w:t>
      </w:r>
      <w:r w:rsidR="00271226" w:rsidRPr="00A26E75">
        <w:rPr>
          <w:rtl/>
        </w:rPr>
        <w:t>.</w:t>
      </w:r>
    </w:p>
    <w:p w:rsidR="00A23042" w:rsidRPr="00A26E75" w:rsidRDefault="006226C2" w:rsidP="0066462E">
      <w:pPr>
        <w:spacing w:before="120" w:after="120" w:line="26" w:lineRule="atLeast"/>
        <w:rPr>
          <w:rtl/>
        </w:rPr>
      </w:pPr>
      <w:r>
        <w:rPr>
          <w:rFonts w:hint="cs"/>
          <w:rtl/>
        </w:rPr>
        <w:t xml:space="preserve">יחידה זו נועלת את סדרת התעניות, ולאחריה תבוא יחידה העוסקת במה שקורה </w:t>
      </w:r>
      <w:r w:rsidR="00D3652C">
        <w:rPr>
          <w:rFonts w:hint="cs"/>
          <w:rtl/>
        </w:rPr>
        <w:t xml:space="preserve">אם כל התעניות לא הועילו. בסיום </w:t>
      </w:r>
      <w:r>
        <w:rPr>
          <w:rFonts w:hint="cs"/>
          <w:rtl/>
        </w:rPr>
        <w:t>יחידה</w:t>
      </w:r>
      <w:r w:rsidR="00D3652C">
        <w:rPr>
          <w:rFonts w:hint="cs"/>
          <w:rtl/>
        </w:rPr>
        <w:t xml:space="preserve"> זו</w:t>
      </w:r>
      <w:r>
        <w:rPr>
          <w:rFonts w:hint="cs"/>
          <w:rtl/>
        </w:rPr>
        <w:t xml:space="preserve"> נאסוף את כל הידע שרכשנו במשניות הקודמות ונסכם אותו.</w:t>
      </w:r>
    </w:p>
    <w:p w:rsidR="000B5CD3" w:rsidRPr="00A26E75" w:rsidRDefault="000B5CD3" w:rsidP="0066462E">
      <w:pPr>
        <w:spacing w:before="120" w:after="120" w:line="26" w:lineRule="atLeast"/>
        <w:rPr>
          <w:rtl/>
        </w:rPr>
      </w:pPr>
      <w:r w:rsidRPr="00A26E75">
        <w:rPr>
          <w:highlight w:val="green"/>
          <w:rtl/>
        </w:rPr>
        <w:t>נוסח המשנה</w:t>
      </w:r>
    </w:p>
    <w:p w:rsidR="006226C2" w:rsidRDefault="006226C2" w:rsidP="0066462E">
      <w:pPr>
        <w:pStyle w:val="2"/>
        <w:spacing w:line="26" w:lineRule="atLeast"/>
        <w:rPr>
          <w:rtl/>
        </w:rPr>
      </w:pPr>
      <w:r>
        <w:rPr>
          <w:rtl/>
        </w:rPr>
        <w:t>עָבְרוּ אֵלּוּ וְלֹא נַעֲנוּ -</w:t>
      </w:r>
    </w:p>
    <w:p w:rsidR="006226C2" w:rsidRDefault="006226C2" w:rsidP="0066462E">
      <w:pPr>
        <w:pStyle w:val="2"/>
        <w:spacing w:line="26" w:lineRule="atLeast"/>
        <w:rPr>
          <w:rtl/>
        </w:rPr>
      </w:pPr>
      <w:r>
        <w:rPr>
          <w:rtl/>
        </w:rPr>
        <w:t xml:space="preserve">בֵּית דִּין </w:t>
      </w:r>
      <w:proofErr w:type="spellStart"/>
      <w:r>
        <w:rPr>
          <w:rtl/>
        </w:rPr>
        <w:t>גּוֹזְרִין</w:t>
      </w:r>
      <w:proofErr w:type="spellEnd"/>
      <w:r>
        <w:rPr>
          <w:rtl/>
        </w:rPr>
        <w:t xml:space="preserve"> עֲלֵיהֶם עוֹד שֶׁבַע, שֶׁהֵן שְׁלשׁ עֶשְׂרֵה תַּעֲנִיּוֹת עַל הַצִּבּוּר.</w:t>
      </w:r>
    </w:p>
    <w:p w:rsidR="006226C2" w:rsidRDefault="006226C2" w:rsidP="0066462E">
      <w:pPr>
        <w:pStyle w:val="2"/>
        <w:spacing w:line="26" w:lineRule="atLeast"/>
        <w:rPr>
          <w:rtl/>
        </w:rPr>
      </w:pPr>
    </w:p>
    <w:p w:rsidR="006226C2" w:rsidRDefault="006226C2" w:rsidP="0066462E">
      <w:pPr>
        <w:pStyle w:val="2"/>
        <w:spacing w:line="26" w:lineRule="atLeast"/>
        <w:rPr>
          <w:rtl/>
        </w:rPr>
      </w:pPr>
      <w:r>
        <w:rPr>
          <w:rtl/>
        </w:rPr>
        <w:t xml:space="preserve">הֲרֵי אֵלּוּ יְתֵרוֹת עַל הָרִאשׁוֹנוֹת, שֶׁבָּאֵלּוּ </w:t>
      </w:r>
      <w:proofErr w:type="spellStart"/>
      <w:r>
        <w:rPr>
          <w:rtl/>
        </w:rPr>
        <w:t>מַתְרִיעִין</w:t>
      </w:r>
      <w:proofErr w:type="spellEnd"/>
      <w:r>
        <w:rPr>
          <w:rtl/>
        </w:rPr>
        <w:t xml:space="preserve">, </w:t>
      </w:r>
    </w:p>
    <w:p w:rsidR="006226C2" w:rsidRDefault="006226C2" w:rsidP="0066462E">
      <w:pPr>
        <w:pStyle w:val="2"/>
        <w:spacing w:line="26" w:lineRule="atLeast"/>
        <w:rPr>
          <w:rtl/>
        </w:rPr>
      </w:pPr>
      <w:proofErr w:type="spellStart"/>
      <w:r>
        <w:rPr>
          <w:rtl/>
        </w:rPr>
        <w:t>וְנוֹעֲלִין</w:t>
      </w:r>
      <w:proofErr w:type="spellEnd"/>
      <w:r>
        <w:rPr>
          <w:rtl/>
        </w:rPr>
        <w:t xml:space="preserve"> אֶת הַחֲנוּיוֹת - </w:t>
      </w:r>
    </w:p>
    <w:p w:rsidR="006226C2" w:rsidRDefault="006226C2" w:rsidP="0066462E">
      <w:pPr>
        <w:pStyle w:val="2"/>
        <w:spacing w:line="26" w:lineRule="atLeast"/>
        <w:rPr>
          <w:rtl/>
        </w:rPr>
      </w:pPr>
      <w:r>
        <w:rPr>
          <w:rtl/>
        </w:rPr>
        <w:t xml:space="preserve">בַּשֵּׁנִי מַטִּין עִם חֲשֵׁכָה, </w:t>
      </w:r>
    </w:p>
    <w:p w:rsidR="00A23042" w:rsidRPr="00A26E75" w:rsidRDefault="006226C2" w:rsidP="0066462E">
      <w:pPr>
        <w:pStyle w:val="2"/>
        <w:spacing w:line="26" w:lineRule="atLeast"/>
        <w:rPr>
          <w:rtl/>
        </w:rPr>
      </w:pPr>
      <w:r>
        <w:rPr>
          <w:rtl/>
        </w:rPr>
        <w:t xml:space="preserve">וּבַחֲמִישִׁי </w:t>
      </w:r>
      <w:proofErr w:type="spellStart"/>
      <w:r>
        <w:rPr>
          <w:rtl/>
        </w:rPr>
        <w:t>מֻתָּרִין</w:t>
      </w:r>
      <w:proofErr w:type="spellEnd"/>
      <w:r>
        <w:rPr>
          <w:rtl/>
        </w:rPr>
        <w:t xml:space="preserve"> מִפְּנֵי כְּבוֹד הַשַּׁבָּת. </w:t>
      </w:r>
    </w:p>
    <w:p w:rsidR="00A23042" w:rsidRPr="00A26E75" w:rsidRDefault="00A23042" w:rsidP="0066462E">
      <w:pPr>
        <w:spacing w:before="120" w:after="120" w:line="26" w:lineRule="atLeast"/>
        <w:rPr>
          <w:rtl/>
        </w:rPr>
      </w:pPr>
    </w:p>
    <w:p w:rsidR="000B5CD3" w:rsidRDefault="00271226" w:rsidP="0066462E">
      <w:pPr>
        <w:spacing w:before="120" w:after="120" w:line="26" w:lineRule="atLeast"/>
        <w:rPr>
          <w:rtl/>
        </w:rPr>
      </w:pPr>
      <w:r w:rsidRPr="00A26E75">
        <w:rPr>
          <w:highlight w:val="green"/>
          <w:rtl/>
        </w:rPr>
        <w:t>מבנה:</w:t>
      </w:r>
      <w:r w:rsidRPr="00A26E75">
        <w:rPr>
          <w:rtl/>
        </w:rPr>
        <w:t xml:space="preserve"> </w:t>
      </w:r>
    </w:p>
    <w:p w:rsidR="006226C2" w:rsidRDefault="006226C2" w:rsidP="0066462E">
      <w:pPr>
        <w:pStyle w:val="a3"/>
        <w:numPr>
          <w:ilvl w:val="0"/>
          <w:numId w:val="11"/>
        </w:numPr>
        <w:spacing w:before="120" w:after="120" w:line="26" w:lineRule="atLeast"/>
        <w:contextualSpacing w:val="0"/>
      </w:pPr>
      <w:r>
        <w:rPr>
          <w:rFonts w:hint="cs"/>
          <w:rtl/>
        </w:rPr>
        <w:t>גם</w:t>
      </w:r>
      <w:r w:rsidR="00CA3050">
        <w:rPr>
          <w:rFonts w:hint="cs"/>
          <w:rtl/>
        </w:rPr>
        <w:t xml:space="preserve"> כאן </w:t>
      </w:r>
      <w:r>
        <w:rPr>
          <w:rFonts w:hint="cs"/>
          <w:rtl/>
        </w:rPr>
        <w:t>אין תאריכים, ואנו נצטרך לעקוב אחרי התאריכים על פי הלוח.</w:t>
      </w:r>
    </w:p>
    <w:p w:rsidR="006226C2" w:rsidRDefault="006226C2" w:rsidP="0066462E">
      <w:pPr>
        <w:pStyle w:val="a3"/>
        <w:numPr>
          <w:ilvl w:val="0"/>
          <w:numId w:val="11"/>
        </w:numPr>
        <w:spacing w:before="120" w:after="120" w:line="26" w:lineRule="atLeast"/>
        <w:contextualSpacing w:val="0"/>
      </w:pPr>
      <w:r>
        <w:rPr>
          <w:rFonts w:hint="cs"/>
          <w:rtl/>
        </w:rPr>
        <w:t>זיהוי המספרים המופיעים ביחידה, מספר אחד הוא מספר התעניות החדשות, ומספר שני הוא סיכום (יש להבין היטב שזהו סיכום תעניות הציבור ולא סך כל התעניות שלמדנו, ראו בטבלה המצורפת בהמשך).</w:t>
      </w:r>
    </w:p>
    <w:p w:rsidR="00CA3050" w:rsidRPr="00A26E75" w:rsidRDefault="00CA3050" w:rsidP="0066462E">
      <w:pPr>
        <w:pStyle w:val="a3"/>
        <w:numPr>
          <w:ilvl w:val="0"/>
          <w:numId w:val="11"/>
        </w:numPr>
        <w:spacing w:before="120" w:after="120" w:line="26" w:lineRule="atLeast"/>
        <w:contextualSpacing w:val="0"/>
        <w:rPr>
          <w:rtl/>
        </w:rPr>
      </w:pPr>
      <w:r>
        <w:rPr>
          <w:rFonts w:hint="cs"/>
          <w:rtl/>
        </w:rPr>
        <w:t>זיהוי הימים בשבוע שמוזכרים במשנה. (אנחנו לא מסבירים עדיין מה משמעות אזכור הימים, אבל כן מחדירים למודעות שיהיו במשנה דינים שקשורים לימים מסוימים בשבוע.)</w:t>
      </w:r>
    </w:p>
    <w:p w:rsidR="000B5CD3" w:rsidRDefault="000B5CD3" w:rsidP="0066462E">
      <w:pPr>
        <w:spacing w:before="120" w:after="120" w:line="26" w:lineRule="atLeast"/>
        <w:rPr>
          <w:rtl/>
        </w:rPr>
      </w:pPr>
      <w:r w:rsidRPr="00A26E75">
        <w:rPr>
          <w:highlight w:val="green"/>
          <w:rtl/>
        </w:rPr>
        <w:t>תוכן</w:t>
      </w:r>
    </w:p>
    <w:p w:rsidR="006226C2" w:rsidRDefault="006226C2" w:rsidP="0066462E">
      <w:pPr>
        <w:pStyle w:val="a3"/>
        <w:numPr>
          <w:ilvl w:val="0"/>
          <w:numId w:val="13"/>
        </w:numPr>
        <w:spacing w:before="120" w:after="120" w:line="26" w:lineRule="atLeast"/>
        <w:contextualSpacing w:val="0"/>
      </w:pPr>
      <w:r>
        <w:rPr>
          <w:rFonts w:hint="cs"/>
          <w:rtl/>
        </w:rPr>
        <w:t>נתמקם בציר הזמן בעזרת לוח השנה.</w:t>
      </w:r>
    </w:p>
    <w:p w:rsidR="006226C2" w:rsidRDefault="006226C2" w:rsidP="0066462E">
      <w:pPr>
        <w:pStyle w:val="a3"/>
        <w:numPr>
          <w:ilvl w:val="0"/>
          <w:numId w:val="13"/>
        </w:numPr>
        <w:spacing w:before="120" w:after="120" w:line="26" w:lineRule="atLeast"/>
        <w:contextualSpacing w:val="0"/>
      </w:pPr>
      <w:r>
        <w:rPr>
          <w:rFonts w:hint="cs"/>
          <w:rtl/>
        </w:rPr>
        <w:t>נחשב כיצד הגענו לשלוש עשרה תעניות, ניתן להיעזר בטבלה שבסוף היחידה.</w:t>
      </w:r>
    </w:p>
    <w:p w:rsidR="006226C2" w:rsidRDefault="006226C2" w:rsidP="0066462E">
      <w:pPr>
        <w:pStyle w:val="a3"/>
        <w:numPr>
          <w:ilvl w:val="0"/>
          <w:numId w:val="13"/>
        </w:numPr>
        <w:spacing w:before="120" w:after="120" w:line="26" w:lineRule="atLeast"/>
        <w:contextualSpacing w:val="0"/>
      </w:pPr>
      <w:r>
        <w:rPr>
          <w:rFonts w:hint="cs"/>
          <w:rtl/>
        </w:rPr>
        <w:t xml:space="preserve">הרי אלו יתרות על הראשונות </w:t>
      </w:r>
      <w:r>
        <w:rPr>
          <w:rtl/>
        </w:rPr>
        <w:t>–</w:t>
      </w:r>
      <w:r>
        <w:rPr>
          <w:rFonts w:hint="cs"/>
          <w:rtl/>
        </w:rPr>
        <w:t xml:space="preserve"> לאילו ראשונות הכוונה? (לשלוש התעניות הקודמות, שהיו חמורות בעצמן, ולא לשלוש הראשונות של הציבור, שהיו קלות)</w:t>
      </w:r>
      <w:r w:rsidR="00CA3050">
        <w:rPr>
          <w:rFonts w:hint="cs"/>
          <w:rtl/>
        </w:rPr>
        <w:t xml:space="preserve"> יתרות </w:t>
      </w:r>
      <w:r w:rsidR="00CA3050">
        <w:rPr>
          <w:rtl/>
        </w:rPr>
        <w:t>–</w:t>
      </w:r>
      <w:r w:rsidR="00CA3050">
        <w:rPr>
          <w:rFonts w:hint="cs"/>
          <w:rtl/>
        </w:rPr>
        <w:t xml:space="preserve"> כלומר, יש בהן עוד איסורים יתרים, נוספים, מלבד כל האיסורים שנוהגים בקודמות.</w:t>
      </w:r>
    </w:p>
    <w:p w:rsidR="006226C2" w:rsidRDefault="00CA3050" w:rsidP="0066462E">
      <w:pPr>
        <w:pStyle w:val="a3"/>
        <w:numPr>
          <w:ilvl w:val="0"/>
          <w:numId w:val="13"/>
        </w:numPr>
        <w:spacing w:before="120" w:after="120" w:line="26" w:lineRule="atLeast"/>
        <w:contextualSpacing w:val="0"/>
        <w:rPr>
          <w:rtl/>
        </w:rPr>
      </w:pPr>
      <w:r>
        <w:rPr>
          <w:rFonts w:hint="cs"/>
          <w:rtl/>
        </w:rPr>
        <w:t xml:space="preserve">השבתת המסחר: השבתת המסחר היא צעד דרמטי ויוצא דופן המעיד על חומרת המצב. עם זאת, גם למצב זה יש גבולות ברורים, שמטרתם לא להקשות על הציבור יותר מדי ולא לפגוע בהכנות לשבת. </w:t>
      </w:r>
      <w:r w:rsidR="00D3652C">
        <w:rPr>
          <w:rFonts w:hint="cs"/>
          <w:rtl/>
        </w:rPr>
        <w:t xml:space="preserve">לכן ביום שני פותחים מעט את דלתות החנויות לקראת ערב, כדי שניתן יהיה לקנות מזון לשבירת הצום, ובחמישי מותר לפתוח חנויות מזון במשך כל היום, מפני כבוד השבת. </w:t>
      </w:r>
      <w:r>
        <w:rPr>
          <w:rFonts w:hint="cs"/>
          <w:rtl/>
        </w:rPr>
        <w:t>בכיתות חזקות ניתן להראות, על פי מה שדייקנו באיורים שביום חמישי לא כל המסחר פועל, אלא רק חנויות שמוכרות מזון, לכבוד שבת.</w:t>
      </w:r>
    </w:p>
    <w:p w:rsidR="001B50C7" w:rsidRPr="00A26E75" w:rsidRDefault="001B50C7" w:rsidP="0066462E">
      <w:pPr>
        <w:spacing w:before="120" w:after="120" w:line="26" w:lineRule="atLeast"/>
        <w:rPr>
          <w:rtl/>
        </w:rPr>
      </w:pPr>
      <w:r w:rsidRPr="00A26E75">
        <w:rPr>
          <w:highlight w:val="green"/>
          <w:rtl/>
        </w:rPr>
        <w:t>מיומנות</w:t>
      </w:r>
    </w:p>
    <w:p w:rsidR="006226C2" w:rsidRPr="00DE4540" w:rsidRDefault="006226C2" w:rsidP="0066462E">
      <w:pPr>
        <w:spacing w:before="120" w:after="120" w:line="26" w:lineRule="atLeast"/>
        <w:rPr>
          <w:sz w:val="26"/>
          <w:szCs w:val="26"/>
          <w:rtl/>
        </w:rPr>
      </w:pPr>
      <w:r>
        <w:rPr>
          <w:rFonts w:hint="cs"/>
          <w:rtl/>
        </w:rPr>
        <w:t>בסיום היחידה נלמד את טבלת הסיכום המדגישה את תהליך ההחמרה בתעניות, נתרגל 'שליפת נתונים' ממנה והמסוגלים לכך גם יחברו חידות משלהם על סמך הנתונים. בכיתות חזקות ניתן גם לערוך מעין חידון לתלמידים בעזרת המצגת המצורפת למדריך.</w:t>
      </w:r>
    </w:p>
    <w:tbl>
      <w:tblPr>
        <w:tblStyle w:val="-1"/>
        <w:tblpPr w:leftFromText="180" w:rightFromText="180" w:vertAnchor="text" w:tblpXSpec="center" w:tblpY="1"/>
        <w:tblOverlap w:val="never"/>
        <w:bidiVisual/>
        <w:tblW w:w="8806" w:type="dxa"/>
        <w:tblInd w:w="0" w:type="dxa"/>
        <w:tblLook w:val="04A0" w:firstRow="1" w:lastRow="0" w:firstColumn="1" w:lastColumn="0" w:noHBand="0" w:noVBand="1"/>
      </w:tblPr>
      <w:tblGrid>
        <w:gridCol w:w="1213"/>
        <w:gridCol w:w="1497"/>
        <w:gridCol w:w="1560"/>
        <w:gridCol w:w="2268"/>
        <w:gridCol w:w="2268"/>
      </w:tblGrid>
      <w:tr w:rsidR="006226C2" w:rsidTr="006E1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Borders>
              <w:top w:val="single" w:sz="8" w:space="0" w:color="4F81BD" w:themeColor="accent1"/>
              <w:left w:val="single" w:sz="8" w:space="0" w:color="4F81BD" w:themeColor="accent1"/>
              <w:bottom w:val="single" w:sz="8" w:space="0" w:color="4F81BD" w:themeColor="accent1"/>
              <w:right w:val="single" w:sz="4" w:space="0" w:color="E5B8B7" w:themeColor="accent2" w:themeTint="66"/>
            </w:tcBorders>
          </w:tcPr>
          <w:p w:rsidR="006226C2" w:rsidRDefault="006226C2" w:rsidP="0066462E">
            <w:pPr>
              <w:spacing w:before="120" w:after="120" w:line="26" w:lineRule="atLeast"/>
              <w:rPr>
                <w:sz w:val="26"/>
                <w:szCs w:val="26"/>
              </w:rPr>
            </w:pPr>
          </w:p>
        </w:tc>
        <w:tc>
          <w:tcPr>
            <w:tcW w:w="149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6226C2" w:rsidRDefault="006226C2" w:rsidP="0066462E">
            <w:pPr>
              <w:spacing w:before="120" w:after="120" w:line="26" w:lineRule="atLeast"/>
              <w:jc w:val="center"/>
              <w:cnfStyle w:val="100000000000" w:firstRow="1" w:lastRow="0" w:firstColumn="0" w:lastColumn="0" w:oddVBand="0" w:evenVBand="0" w:oddHBand="0" w:evenHBand="0" w:firstRowFirstColumn="0" w:firstRowLastColumn="0" w:lastRowFirstColumn="0" w:lastRowLastColumn="0"/>
              <w:rPr>
                <w:sz w:val="26"/>
                <w:szCs w:val="26"/>
                <w:rtl/>
              </w:rPr>
            </w:pPr>
            <w:r>
              <w:rPr>
                <w:sz w:val="26"/>
                <w:szCs w:val="26"/>
                <w:rtl/>
              </w:rPr>
              <w:t xml:space="preserve"> לא ירד גשם עד י"ז בחשוון </w:t>
            </w:r>
          </w:p>
          <w:p w:rsidR="006226C2" w:rsidRDefault="006226C2" w:rsidP="0066462E">
            <w:pPr>
              <w:spacing w:before="120" w:after="120" w:line="26" w:lineRule="atLeast"/>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tl/>
              </w:rPr>
              <w:t>(משנה ד)</w:t>
            </w:r>
          </w:p>
        </w:tc>
        <w:tc>
          <w:tcPr>
            <w:tcW w:w="1560"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6226C2" w:rsidRDefault="006226C2" w:rsidP="0066462E">
            <w:pPr>
              <w:spacing w:before="120" w:after="120" w:line="26" w:lineRule="atLeast"/>
              <w:jc w:val="center"/>
              <w:cnfStyle w:val="100000000000" w:firstRow="1" w:lastRow="0" w:firstColumn="0" w:lastColumn="0" w:oddVBand="0" w:evenVBand="0" w:oddHBand="0" w:evenHBand="0" w:firstRowFirstColumn="0" w:firstRowLastColumn="0" w:lastRowFirstColumn="0" w:lastRowLastColumn="0"/>
              <w:rPr>
                <w:sz w:val="26"/>
                <w:szCs w:val="26"/>
                <w:rtl/>
              </w:rPr>
            </w:pPr>
            <w:r>
              <w:rPr>
                <w:sz w:val="26"/>
                <w:szCs w:val="26"/>
                <w:rtl/>
              </w:rPr>
              <w:t>לא ירד גשם עד ראש חודש כסלו</w:t>
            </w:r>
          </w:p>
          <w:p w:rsidR="006226C2" w:rsidRDefault="006226C2" w:rsidP="0066462E">
            <w:pPr>
              <w:spacing w:before="120" w:after="120" w:line="26" w:lineRule="atLeast"/>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tl/>
              </w:rPr>
              <w:t>(משנה ה)</w:t>
            </w:r>
          </w:p>
        </w:tc>
        <w:tc>
          <w:tcPr>
            <w:tcW w:w="2268"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6226C2" w:rsidRDefault="006226C2" w:rsidP="0066462E">
            <w:pPr>
              <w:spacing w:before="120" w:after="120" w:line="26" w:lineRule="atLeast"/>
              <w:jc w:val="center"/>
              <w:cnfStyle w:val="100000000000" w:firstRow="1" w:lastRow="0" w:firstColumn="0" w:lastColumn="0" w:oddVBand="0" w:evenVBand="0" w:oddHBand="0" w:evenHBand="0" w:firstRowFirstColumn="0" w:firstRowLastColumn="0" w:lastRowFirstColumn="0" w:lastRowLastColumn="0"/>
              <w:rPr>
                <w:sz w:val="26"/>
                <w:szCs w:val="26"/>
                <w:rtl/>
              </w:rPr>
            </w:pPr>
            <w:r>
              <w:rPr>
                <w:sz w:val="26"/>
                <w:szCs w:val="26"/>
                <w:rtl/>
              </w:rPr>
              <w:t>עברו אלו ולא נענו</w:t>
            </w:r>
          </w:p>
          <w:p w:rsidR="006226C2" w:rsidRDefault="006226C2" w:rsidP="0066462E">
            <w:pPr>
              <w:spacing w:before="120" w:after="120" w:line="26" w:lineRule="atLeast"/>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tl/>
              </w:rPr>
              <w:t>(משנה ו – חלק א)</w:t>
            </w:r>
          </w:p>
        </w:tc>
        <w:tc>
          <w:tcPr>
            <w:tcW w:w="2268"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rsidR="006226C2" w:rsidRDefault="006226C2" w:rsidP="0066462E">
            <w:pPr>
              <w:spacing w:before="120" w:after="120" w:line="26" w:lineRule="atLeast"/>
              <w:jc w:val="center"/>
              <w:cnfStyle w:val="100000000000" w:firstRow="1" w:lastRow="0" w:firstColumn="0" w:lastColumn="0" w:oddVBand="0" w:evenVBand="0" w:oddHBand="0" w:evenHBand="0" w:firstRowFirstColumn="0" w:firstRowLastColumn="0" w:lastRowFirstColumn="0" w:lastRowLastColumn="0"/>
              <w:rPr>
                <w:sz w:val="26"/>
                <w:szCs w:val="26"/>
                <w:rtl/>
              </w:rPr>
            </w:pPr>
            <w:r>
              <w:rPr>
                <w:sz w:val="26"/>
                <w:szCs w:val="26"/>
                <w:rtl/>
              </w:rPr>
              <w:t>עברו אלו ולא נענו</w:t>
            </w:r>
          </w:p>
          <w:p w:rsidR="006226C2" w:rsidRDefault="006226C2" w:rsidP="0066462E">
            <w:pPr>
              <w:spacing w:before="120" w:after="120" w:line="26" w:lineRule="atLeast"/>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tl/>
              </w:rPr>
              <w:t>(משנה ו - חלק ב)</w:t>
            </w:r>
          </w:p>
        </w:tc>
      </w:tr>
      <w:tr w:rsidR="006226C2" w:rsidTr="00CA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Borders>
              <w:right w:val="single" w:sz="4" w:space="0" w:color="4F81BD" w:themeColor="accent1"/>
            </w:tcBorders>
            <w:shd w:val="clear" w:color="auto" w:fill="B8CCE4" w:themeFill="accent1" w:themeFillTint="66"/>
            <w:vAlign w:val="center"/>
            <w:hideMark/>
          </w:tcPr>
          <w:p w:rsidR="006226C2" w:rsidRDefault="006226C2" w:rsidP="0066462E">
            <w:pPr>
              <w:spacing w:before="120" w:after="120" w:line="26" w:lineRule="atLeast"/>
              <w:jc w:val="center"/>
              <w:rPr>
                <w:sz w:val="26"/>
                <w:szCs w:val="26"/>
              </w:rPr>
            </w:pPr>
            <w:r>
              <w:rPr>
                <w:sz w:val="26"/>
                <w:szCs w:val="26"/>
                <w:rtl/>
              </w:rPr>
              <w:lastRenderedPageBreak/>
              <w:t>מספר התעניות</w:t>
            </w:r>
          </w:p>
        </w:tc>
        <w:tc>
          <w:tcPr>
            <w:tcW w:w="1497" w:type="dxa"/>
            <w:tcBorders>
              <w:top w:val="single" w:sz="4" w:space="0" w:color="E5B8B7" w:themeColor="accent2" w:themeTint="66"/>
              <w:left w:val="single" w:sz="4" w:space="0" w:color="auto"/>
              <w:bottom w:val="single" w:sz="4" w:space="0" w:color="auto"/>
              <w:right w:val="single" w:sz="4" w:space="0" w:color="auto"/>
            </w:tcBorders>
            <w:shd w:val="clear" w:color="auto" w:fill="FFFF00"/>
            <w:vAlign w:val="center"/>
            <w:hideMark/>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Pr>
                <w:sz w:val="26"/>
                <w:szCs w:val="26"/>
                <w:highlight w:val="yellow"/>
                <w:rtl/>
              </w:rPr>
              <w:t>3</w:t>
            </w:r>
          </w:p>
        </w:tc>
        <w:tc>
          <w:tcPr>
            <w:tcW w:w="1560" w:type="dxa"/>
            <w:tcBorders>
              <w:top w:val="single" w:sz="4" w:space="0" w:color="E5B8B7" w:themeColor="accent2" w:themeTint="66"/>
              <w:left w:val="single" w:sz="4" w:space="0" w:color="auto"/>
              <w:bottom w:val="single" w:sz="4" w:space="0" w:color="auto"/>
              <w:right w:val="single" w:sz="4" w:space="0" w:color="auto"/>
            </w:tcBorders>
            <w:shd w:val="clear" w:color="auto" w:fill="FFFF00"/>
            <w:vAlign w:val="center"/>
            <w:hideMark/>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Pr>
                <w:sz w:val="26"/>
                <w:szCs w:val="26"/>
                <w:highlight w:val="yellow"/>
                <w:rtl/>
              </w:rPr>
              <w:t>3</w:t>
            </w:r>
          </w:p>
        </w:tc>
        <w:tc>
          <w:tcPr>
            <w:tcW w:w="2268" w:type="dxa"/>
            <w:tcBorders>
              <w:top w:val="single" w:sz="4" w:space="0" w:color="E5B8B7" w:themeColor="accent2" w:themeTint="66"/>
              <w:left w:val="single" w:sz="4" w:space="0" w:color="auto"/>
              <w:bottom w:val="single" w:sz="4" w:space="0" w:color="auto"/>
              <w:right w:val="single" w:sz="4" w:space="0" w:color="auto"/>
            </w:tcBorders>
            <w:shd w:val="clear" w:color="auto" w:fill="FFFF00"/>
            <w:vAlign w:val="center"/>
            <w:hideMark/>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Pr>
                <w:sz w:val="26"/>
                <w:szCs w:val="26"/>
                <w:highlight w:val="yellow"/>
                <w:rtl/>
              </w:rPr>
              <w:t>3</w:t>
            </w:r>
          </w:p>
        </w:tc>
        <w:tc>
          <w:tcPr>
            <w:tcW w:w="2268" w:type="dxa"/>
            <w:tcBorders>
              <w:top w:val="single" w:sz="4" w:space="0" w:color="E5B8B7" w:themeColor="accent2" w:themeTint="66"/>
              <w:left w:val="single" w:sz="4" w:space="0" w:color="auto"/>
              <w:bottom w:val="single" w:sz="4" w:space="0" w:color="auto"/>
              <w:right w:val="single" w:sz="4" w:space="0" w:color="auto"/>
            </w:tcBorders>
            <w:shd w:val="clear" w:color="auto" w:fill="FF0000"/>
            <w:vAlign w:val="center"/>
            <w:hideMark/>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color w:val="FDE9D9" w:themeColor="accent6" w:themeTint="33"/>
                <w:sz w:val="26"/>
                <w:szCs w:val="26"/>
                <w:highlight w:val="green"/>
              </w:rPr>
            </w:pPr>
            <w:r>
              <w:rPr>
                <w:color w:val="FDE9D9" w:themeColor="accent6" w:themeTint="33"/>
                <w:sz w:val="26"/>
                <w:szCs w:val="26"/>
                <w:highlight w:val="red"/>
                <w:rtl/>
              </w:rPr>
              <w:t>7</w:t>
            </w:r>
          </w:p>
        </w:tc>
      </w:tr>
      <w:tr w:rsidR="006226C2" w:rsidTr="00CA3050">
        <w:tc>
          <w:tcPr>
            <w:cnfStyle w:val="001000000000" w:firstRow="0" w:lastRow="0" w:firstColumn="1" w:lastColumn="0" w:oddVBand="0" w:evenVBand="0" w:oddHBand="0" w:evenHBand="0" w:firstRowFirstColumn="0" w:firstRowLastColumn="0" w:lastRowFirstColumn="0" w:lastRowLastColumn="0"/>
            <w:tcW w:w="1213" w:type="dxa"/>
            <w:tcBorders>
              <w:top w:val="nil"/>
              <w:left w:val="single" w:sz="8" w:space="0" w:color="4F81BD" w:themeColor="accent1"/>
              <w:bottom w:val="nil"/>
              <w:right w:val="single" w:sz="4" w:space="0" w:color="auto"/>
            </w:tcBorders>
            <w:shd w:val="clear" w:color="auto" w:fill="B8CCE4" w:themeFill="accent1" w:themeFillTint="66"/>
            <w:vAlign w:val="center"/>
            <w:hideMark/>
          </w:tcPr>
          <w:p w:rsidR="006226C2" w:rsidRDefault="006226C2" w:rsidP="0066462E">
            <w:pPr>
              <w:spacing w:before="120" w:after="120" w:line="26" w:lineRule="atLeast"/>
              <w:jc w:val="center"/>
              <w:rPr>
                <w:sz w:val="26"/>
                <w:szCs w:val="26"/>
              </w:rPr>
            </w:pPr>
            <w:r>
              <w:rPr>
                <w:sz w:val="26"/>
                <w:szCs w:val="26"/>
                <w:rtl/>
              </w:rPr>
              <w:t>המתענים</w:t>
            </w:r>
          </w:p>
        </w:tc>
        <w:tc>
          <w:tcPr>
            <w:tcW w:w="1497" w:type="dxa"/>
            <w:tcBorders>
              <w:top w:val="single" w:sz="4" w:space="0" w:color="E5B8B7" w:themeColor="accent2" w:themeTint="66"/>
              <w:left w:val="single" w:sz="4" w:space="0" w:color="auto"/>
              <w:bottom w:val="single" w:sz="4" w:space="0" w:color="auto"/>
              <w:right w:val="single" w:sz="4" w:space="0" w:color="auto"/>
            </w:tcBorders>
            <w:shd w:val="clear" w:color="auto" w:fill="FFFF00"/>
            <w:vAlign w:val="center"/>
            <w:hideMark/>
          </w:tcPr>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highlight w:val="yellow"/>
                <w:rtl/>
              </w:rPr>
              <w:t>היחידים</w:t>
            </w:r>
          </w:p>
        </w:tc>
        <w:tc>
          <w:tcPr>
            <w:tcW w:w="1560" w:type="dxa"/>
            <w:tcBorders>
              <w:top w:val="single" w:sz="4" w:space="0" w:color="E5B8B7" w:themeColor="accent2" w:themeTint="66"/>
              <w:left w:val="single" w:sz="4" w:space="0" w:color="auto"/>
              <w:bottom w:val="single" w:sz="4" w:space="0" w:color="auto"/>
              <w:right w:val="single" w:sz="4" w:space="0" w:color="auto"/>
            </w:tcBorders>
            <w:shd w:val="clear" w:color="auto" w:fill="FF0000"/>
            <w:vAlign w:val="center"/>
            <w:hideMark/>
          </w:tcPr>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color w:val="FDE9D9" w:themeColor="accent6" w:themeTint="33"/>
                <w:sz w:val="26"/>
                <w:szCs w:val="26"/>
              </w:rPr>
            </w:pPr>
            <w:r>
              <w:rPr>
                <w:color w:val="FDE9D9" w:themeColor="accent6" w:themeTint="33"/>
                <w:sz w:val="26"/>
                <w:szCs w:val="26"/>
                <w:highlight w:val="red"/>
                <w:rtl/>
              </w:rPr>
              <w:t>כל הציבור</w:t>
            </w:r>
          </w:p>
        </w:tc>
        <w:tc>
          <w:tcPr>
            <w:tcW w:w="2268" w:type="dxa"/>
            <w:tcBorders>
              <w:top w:val="single" w:sz="4" w:space="0" w:color="E5B8B7" w:themeColor="accent2" w:themeTint="66"/>
              <w:left w:val="single" w:sz="4" w:space="0" w:color="auto"/>
              <w:bottom w:val="single" w:sz="4" w:space="0" w:color="auto"/>
              <w:right w:val="single" w:sz="4" w:space="0" w:color="auto"/>
            </w:tcBorders>
            <w:shd w:val="clear" w:color="auto" w:fill="FF0000"/>
            <w:vAlign w:val="center"/>
            <w:hideMark/>
          </w:tcPr>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color w:val="FDE9D9" w:themeColor="accent6" w:themeTint="33"/>
                <w:sz w:val="26"/>
                <w:szCs w:val="26"/>
              </w:rPr>
            </w:pPr>
            <w:r>
              <w:rPr>
                <w:color w:val="FDE9D9" w:themeColor="accent6" w:themeTint="33"/>
                <w:sz w:val="26"/>
                <w:szCs w:val="26"/>
                <w:highlight w:val="red"/>
                <w:rtl/>
              </w:rPr>
              <w:t>כל הציבור</w:t>
            </w:r>
          </w:p>
        </w:tc>
        <w:tc>
          <w:tcPr>
            <w:tcW w:w="2268" w:type="dxa"/>
            <w:tcBorders>
              <w:top w:val="single" w:sz="4" w:space="0" w:color="E5B8B7" w:themeColor="accent2" w:themeTint="66"/>
              <w:left w:val="single" w:sz="4" w:space="0" w:color="auto"/>
              <w:bottom w:val="single" w:sz="4" w:space="0" w:color="auto"/>
              <w:right w:val="single" w:sz="4" w:space="0" w:color="auto"/>
            </w:tcBorders>
            <w:shd w:val="clear" w:color="auto" w:fill="FF0000"/>
            <w:vAlign w:val="center"/>
            <w:hideMark/>
          </w:tcPr>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color w:val="FDE9D9" w:themeColor="accent6" w:themeTint="33"/>
                <w:sz w:val="26"/>
                <w:szCs w:val="26"/>
                <w:highlight w:val="red"/>
              </w:rPr>
            </w:pPr>
            <w:r>
              <w:rPr>
                <w:color w:val="FDE9D9" w:themeColor="accent6" w:themeTint="33"/>
                <w:sz w:val="26"/>
                <w:szCs w:val="26"/>
                <w:highlight w:val="red"/>
                <w:rtl/>
              </w:rPr>
              <w:t>כל הציבור</w:t>
            </w:r>
          </w:p>
        </w:tc>
      </w:tr>
      <w:tr w:rsidR="006226C2" w:rsidTr="00CA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Borders>
              <w:right w:val="single" w:sz="4" w:space="0" w:color="4F81BD" w:themeColor="accent1"/>
            </w:tcBorders>
            <w:shd w:val="clear" w:color="auto" w:fill="B8CCE4" w:themeFill="accent1" w:themeFillTint="66"/>
            <w:vAlign w:val="center"/>
            <w:hideMark/>
          </w:tcPr>
          <w:p w:rsidR="006226C2" w:rsidRDefault="006226C2" w:rsidP="0066462E">
            <w:pPr>
              <w:spacing w:before="120" w:after="120" w:line="26" w:lineRule="atLeast"/>
              <w:jc w:val="center"/>
              <w:rPr>
                <w:sz w:val="26"/>
                <w:szCs w:val="26"/>
              </w:rPr>
            </w:pPr>
            <w:r>
              <w:rPr>
                <w:sz w:val="26"/>
                <w:szCs w:val="26"/>
                <w:rtl/>
              </w:rPr>
              <w:t>אורך התענית</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highlight w:val="yellow"/>
                <w:rtl/>
              </w:rPr>
            </w:pPr>
            <w:r>
              <w:rPr>
                <w:sz w:val="26"/>
                <w:szCs w:val="26"/>
                <w:highlight w:val="yellow"/>
                <w:rtl/>
              </w:rPr>
              <w:t>חצי יממה</w:t>
            </w:r>
          </w:p>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r>
              <w:rPr>
                <w:sz w:val="26"/>
                <w:szCs w:val="26"/>
                <w:highlight w:val="yellow"/>
                <w:rtl/>
              </w:rPr>
              <w:t>(מזריחה ועד שקיעה)</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rtl/>
              </w:rPr>
            </w:pPr>
            <w:r>
              <w:rPr>
                <w:sz w:val="26"/>
                <w:szCs w:val="26"/>
                <w:highlight w:val="yellow"/>
                <w:rtl/>
              </w:rPr>
              <w:t>חצי</w:t>
            </w:r>
            <w:r w:rsidRPr="00C81F6B">
              <w:rPr>
                <w:sz w:val="26"/>
                <w:szCs w:val="26"/>
                <w:highlight w:val="yellow"/>
                <w:rtl/>
              </w:rPr>
              <w:t xml:space="preserve"> יממה</w:t>
            </w:r>
          </w:p>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rPr>
            </w:pPr>
            <w:r>
              <w:rPr>
                <w:sz w:val="26"/>
                <w:szCs w:val="26"/>
                <w:highlight w:val="yellow"/>
                <w:rtl/>
              </w:rPr>
              <w:t>(מזריחה ועד שקיעה)</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color w:val="FDE9D9" w:themeColor="accent6" w:themeTint="33"/>
                <w:sz w:val="26"/>
                <w:szCs w:val="26"/>
                <w:highlight w:val="red"/>
              </w:rPr>
            </w:pPr>
            <w:r>
              <w:rPr>
                <w:color w:val="FDE9D9" w:themeColor="accent6" w:themeTint="33"/>
                <w:sz w:val="26"/>
                <w:szCs w:val="26"/>
                <w:highlight w:val="red"/>
                <w:rtl/>
              </w:rPr>
              <w:t>יום שלם</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noProof/>
                <w:color w:val="FDE9D9" w:themeColor="accent6" w:themeTint="33"/>
                <w:sz w:val="26"/>
                <w:szCs w:val="26"/>
              </w:rPr>
            </w:pPr>
            <w:r>
              <w:rPr>
                <w:color w:val="FDE9D9" w:themeColor="accent6" w:themeTint="33"/>
                <w:sz w:val="26"/>
                <w:szCs w:val="26"/>
                <w:highlight w:val="red"/>
                <w:rtl/>
              </w:rPr>
              <w:t>יום שלם</w:t>
            </w:r>
          </w:p>
        </w:tc>
      </w:tr>
      <w:tr w:rsidR="006226C2" w:rsidTr="00CA3050">
        <w:tc>
          <w:tcPr>
            <w:cnfStyle w:val="001000000000" w:firstRow="0" w:lastRow="0" w:firstColumn="1" w:lastColumn="0" w:oddVBand="0" w:evenVBand="0" w:oddHBand="0" w:evenHBand="0" w:firstRowFirstColumn="0" w:firstRowLastColumn="0" w:lastRowFirstColumn="0" w:lastRowLastColumn="0"/>
            <w:tcW w:w="1213" w:type="dxa"/>
            <w:tcBorders>
              <w:top w:val="nil"/>
              <w:left w:val="single" w:sz="8" w:space="0" w:color="4F81BD" w:themeColor="accent1"/>
              <w:bottom w:val="nil"/>
              <w:right w:val="single" w:sz="4" w:space="0" w:color="auto"/>
            </w:tcBorders>
            <w:shd w:val="clear" w:color="auto" w:fill="B8CCE4" w:themeFill="accent1" w:themeFillTint="66"/>
            <w:vAlign w:val="center"/>
            <w:hideMark/>
          </w:tcPr>
          <w:p w:rsidR="006226C2" w:rsidRDefault="006226C2" w:rsidP="0066462E">
            <w:pPr>
              <w:spacing w:before="120" w:after="120" w:line="26" w:lineRule="atLeast"/>
              <w:jc w:val="center"/>
              <w:rPr>
                <w:sz w:val="26"/>
                <w:szCs w:val="26"/>
              </w:rPr>
            </w:pPr>
            <w:r>
              <w:rPr>
                <w:sz w:val="26"/>
                <w:szCs w:val="26"/>
                <w:rtl/>
              </w:rPr>
              <w:t>איסורים נוספים</w:t>
            </w:r>
          </w:p>
        </w:tc>
        <w:tc>
          <w:tcPr>
            <w:tcW w:w="149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sz w:val="26"/>
                <w:szCs w:val="26"/>
                <w:highlight w:val="yellow"/>
              </w:rPr>
            </w:pPr>
            <w:r>
              <w:rPr>
                <w:sz w:val="26"/>
                <w:szCs w:val="26"/>
                <w:highlight w:val="yellow"/>
                <w:rtl/>
              </w:rPr>
              <w:t>אין</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sz w:val="26"/>
                <w:szCs w:val="26"/>
              </w:rPr>
            </w:pPr>
            <w:r>
              <w:rPr>
                <w:sz w:val="26"/>
                <w:szCs w:val="26"/>
                <w:highlight w:val="yellow"/>
                <w:rtl/>
              </w:rPr>
              <w:t>אין</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color w:val="FDE9D9" w:themeColor="accent6" w:themeTint="33"/>
                <w:sz w:val="26"/>
                <w:szCs w:val="26"/>
                <w:highlight w:val="red"/>
                <w:rtl/>
              </w:rPr>
            </w:pPr>
            <w:r>
              <w:rPr>
                <w:color w:val="FDE9D9" w:themeColor="accent6" w:themeTint="33"/>
                <w:sz w:val="26"/>
                <w:szCs w:val="26"/>
                <w:highlight w:val="red"/>
                <w:rtl/>
              </w:rPr>
              <w:t>מלאכה, רחיצה, סיכה, נעילת הסנדל, תשמיש המיטה</w:t>
            </w:r>
          </w:p>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color w:val="FDE9D9" w:themeColor="accent6" w:themeTint="33"/>
                <w:sz w:val="26"/>
                <w:szCs w:val="26"/>
              </w:rPr>
            </w:pPr>
            <w:proofErr w:type="spellStart"/>
            <w:r>
              <w:rPr>
                <w:color w:val="FDE9D9" w:themeColor="accent6" w:themeTint="33"/>
                <w:sz w:val="26"/>
                <w:szCs w:val="26"/>
                <w:highlight w:val="red"/>
                <w:rtl/>
              </w:rPr>
              <w:t>נועלין</w:t>
            </w:r>
            <w:proofErr w:type="spellEnd"/>
            <w:r>
              <w:rPr>
                <w:color w:val="FDE9D9" w:themeColor="accent6" w:themeTint="33"/>
                <w:sz w:val="26"/>
                <w:szCs w:val="26"/>
                <w:highlight w:val="red"/>
                <w:rtl/>
              </w:rPr>
              <w:t xml:space="preserve"> את המרחצאות</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color w:val="FDE9D9" w:themeColor="accent6" w:themeTint="33"/>
                <w:sz w:val="26"/>
                <w:szCs w:val="26"/>
                <w:highlight w:val="red"/>
                <w:rtl/>
              </w:rPr>
            </w:pPr>
            <w:r>
              <w:rPr>
                <w:color w:val="FDE9D9" w:themeColor="accent6" w:themeTint="33"/>
                <w:sz w:val="26"/>
                <w:szCs w:val="26"/>
                <w:highlight w:val="red"/>
                <w:rtl/>
              </w:rPr>
              <w:t>מלאכה, רחיצה, סיכה, נעילת הסנדל, תשמיש המיטה</w:t>
            </w:r>
          </w:p>
          <w:p w:rsidR="006226C2" w:rsidRDefault="006226C2" w:rsidP="0066462E">
            <w:pPr>
              <w:spacing w:before="120" w:after="120" w:line="26" w:lineRule="atLeast"/>
              <w:jc w:val="center"/>
              <w:cnfStyle w:val="000000000000" w:firstRow="0" w:lastRow="0" w:firstColumn="0" w:lastColumn="0" w:oddVBand="0" w:evenVBand="0" w:oddHBand="0" w:evenHBand="0" w:firstRowFirstColumn="0" w:firstRowLastColumn="0" w:lastRowFirstColumn="0" w:lastRowLastColumn="0"/>
              <w:rPr>
                <w:noProof/>
                <w:color w:val="FDE9D9" w:themeColor="accent6" w:themeTint="33"/>
                <w:sz w:val="26"/>
                <w:szCs w:val="26"/>
              </w:rPr>
            </w:pPr>
            <w:proofErr w:type="spellStart"/>
            <w:r>
              <w:rPr>
                <w:color w:val="FDE9D9" w:themeColor="accent6" w:themeTint="33"/>
                <w:sz w:val="26"/>
                <w:szCs w:val="26"/>
                <w:highlight w:val="red"/>
                <w:rtl/>
              </w:rPr>
              <w:t>נועלין</w:t>
            </w:r>
            <w:proofErr w:type="spellEnd"/>
            <w:r>
              <w:rPr>
                <w:color w:val="FDE9D9" w:themeColor="accent6" w:themeTint="33"/>
                <w:sz w:val="26"/>
                <w:szCs w:val="26"/>
                <w:highlight w:val="red"/>
                <w:rtl/>
              </w:rPr>
              <w:t xml:space="preserve"> את המרחצאות</w:t>
            </w:r>
          </w:p>
        </w:tc>
      </w:tr>
      <w:tr w:rsidR="006226C2" w:rsidTr="00CA3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Borders>
              <w:left w:val="single" w:sz="4" w:space="0" w:color="E5B8B7" w:themeColor="accent2" w:themeTint="66"/>
              <w:bottom w:val="single" w:sz="4" w:space="0" w:color="E5B8B7" w:themeColor="accent2" w:themeTint="66"/>
              <w:right w:val="nil"/>
            </w:tcBorders>
            <w:vAlign w:val="center"/>
          </w:tcPr>
          <w:p w:rsidR="006226C2" w:rsidRDefault="006226C2" w:rsidP="0066462E">
            <w:pPr>
              <w:spacing w:before="120" w:after="120" w:line="26" w:lineRule="atLeast"/>
              <w:jc w:val="center"/>
              <w:rPr>
                <w:sz w:val="26"/>
                <w:szCs w:val="26"/>
              </w:rPr>
            </w:pPr>
          </w:p>
        </w:tc>
        <w:tc>
          <w:tcPr>
            <w:tcW w:w="1497" w:type="dxa"/>
            <w:tcBorders>
              <w:top w:val="single" w:sz="4" w:space="0" w:color="auto"/>
              <w:left w:val="nil"/>
              <w:bottom w:val="single" w:sz="4" w:space="0" w:color="E5B8B7" w:themeColor="accent2" w:themeTint="66"/>
              <w:right w:val="nil"/>
            </w:tcBorders>
            <w:vAlign w:val="center"/>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p>
        </w:tc>
        <w:tc>
          <w:tcPr>
            <w:tcW w:w="1560" w:type="dxa"/>
            <w:tcBorders>
              <w:top w:val="single" w:sz="4" w:space="0" w:color="auto"/>
              <w:left w:val="nil"/>
              <w:bottom w:val="single" w:sz="4" w:space="0" w:color="E5B8B7" w:themeColor="accent2" w:themeTint="66"/>
              <w:right w:val="nil"/>
            </w:tcBorders>
            <w:vAlign w:val="center"/>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highlight w:val="yellow"/>
              </w:rPr>
            </w:pPr>
          </w:p>
        </w:tc>
        <w:tc>
          <w:tcPr>
            <w:tcW w:w="2268" w:type="dxa"/>
            <w:tcBorders>
              <w:top w:val="single" w:sz="4" w:space="0" w:color="auto"/>
              <w:left w:val="nil"/>
              <w:bottom w:val="single" w:sz="4" w:space="0" w:color="E5B8B7" w:themeColor="accent2" w:themeTint="66"/>
              <w:right w:val="single" w:sz="4" w:space="0" w:color="auto"/>
            </w:tcBorders>
            <w:vAlign w:val="center"/>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noProof/>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noProof/>
                <w:color w:val="FDE9D9" w:themeColor="accent6" w:themeTint="33"/>
                <w:sz w:val="26"/>
                <w:szCs w:val="26"/>
                <w:highlight w:val="red"/>
                <w:rtl/>
              </w:rPr>
            </w:pPr>
            <w:r>
              <w:rPr>
                <w:noProof/>
                <w:color w:val="FDE9D9" w:themeColor="accent6" w:themeTint="33"/>
                <w:sz w:val="26"/>
                <w:szCs w:val="26"/>
                <w:highlight w:val="red"/>
                <w:rtl/>
              </w:rPr>
              <w:t>מתריעין</w:t>
            </w:r>
          </w:p>
          <w:p w:rsidR="006226C2" w:rsidRDefault="006226C2" w:rsidP="0066462E">
            <w:pPr>
              <w:spacing w:before="120" w:after="120" w:line="26" w:lineRule="atLeast"/>
              <w:jc w:val="center"/>
              <w:cnfStyle w:val="000000100000" w:firstRow="0" w:lastRow="0" w:firstColumn="0" w:lastColumn="0" w:oddVBand="0" w:evenVBand="0" w:oddHBand="1" w:evenHBand="0" w:firstRowFirstColumn="0" w:firstRowLastColumn="0" w:lastRowFirstColumn="0" w:lastRowLastColumn="0"/>
              <w:rPr>
                <w:sz w:val="26"/>
                <w:szCs w:val="26"/>
                <w:highlight w:val="red"/>
              </w:rPr>
            </w:pPr>
            <w:r>
              <w:rPr>
                <w:noProof/>
                <w:color w:val="FDE9D9" w:themeColor="accent6" w:themeTint="33"/>
                <w:sz w:val="26"/>
                <w:szCs w:val="26"/>
                <w:highlight w:val="red"/>
                <w:rtl/>
              </w:rPr>
              <w:t>נועלין את החנויות</w:t>
            </w:r>
          </w:p>
        </w:tc>
      </w:tr>
    </w:tbl>
    <w:p w:rsidR="006226C2" w:rsidRDefault="006226C2" w:rsidP="0066462E">
      <w:pPr>
        <w:pStyle w:val="a3"/>
        <w:numPr>
          <w:ilvl w:val="0"/>
          <w:numId w:val="12"/>
        </w:numPr>
        <w:spacing w:before="120" w:after="120" w:line="26" w:lineRule="atLeast"/>
        <w:contextualSpacing w:val="0"/>
        <w:rPr>
          <w:sz w:val="26"/>
          <w:szCs w:val="26"/>
          <w:rtl/>
        </w:rPr>
      </w:pPr>
      <w:r>
        <w:rPr>
          <w:sz w:val="26"/>
          <w:szCs w:val="26"/>
          <w:rtl/>
        </w:rPr>
        <w:t>כמה תעניות יש בסך הכול?</w:t>
      </w:r>
    </w:p>
    <w:p w:rsidR="006226C2" w:rsidRDefault="006226C2" w:rsidP="0066462E">
      <w:pPr>
        <w:pStyle w:val="a3"/>
        <w:numPr>
          <w:ilvl w:val="0"/>
          <w:numId w:val="12"/>
        </w:numPr>
        <w:spacing w:before="120" w:after="120" w:line="26" w:lineRule="atLeast"/>
        <w:contextualSpacing w:val="0"/>
        <w:rPr>
          <w:sz w:val="26"/>
          <w:szCs w:val="26"/>
        </w:rPr>
      </w:pPr>
      <w:r>
        <w:rPr>
          <w:sz w:val="26"/>
          <w:szCs w:val="26"/>
          <w:rtl/>
        </w:rPr>
        <w:t>כמה תעניות מתענים היחידים בלבד?</w:t>
      </w:r>
    </w:p>
    <w:p w:rsidR="006226C2" w:rsidRDefault="006226C2" w:rsidP="0066462E">
      <w:pPr>
        <w:pStyle w:val="a3"/>
        <w:numPr>
          <w:ilvl w:val="0"/>
          <w:numId w:val="12"/>
        </w:numPr>
        <w:spacing w:before="120" w:after="120" w:line="26" w:lineRule="atLeast"/>
        <w:contextualSpacing w:val="0"/>
        <w:rPr>
          <w:sz w:val="26"/>
          <w:szCs w:val="26"/>
        </w:rPr>
      </w:pPr>
      <w:r>
        <w:rPr>
          <w:sz w:val="26"/>
          <w:szCs w:val="26"/>
          <w:rtl/>
        </w:rPr>
        <w:t>כמה תעניות מתענה הציבור כולו?</w:t>
      </w:r>
    </w:p>
    <w:p w:rsidR="006226C2" w:rsidRDefault="006226C2" w:rsidP="0066462E">
      <w:pPr>
        <w:pStyle w:val="a3"/>
        <w:numPr>
          <w:ilvl w:val="0"/>
          <w:numId w:val="12"/>
        </w:numPr>
        <w:spacing w:before="120" w:after="120" w:line="26" w:lineRule="atLeast"/>
        <w:contextualSpacing w:val="0"/>
        <w:rPr>
          <w:sz w:val="26"/>
          <w:szCs w:val="26"/>
        </w:rPr>
      </w:pPr>
      <w:r>
        <w:rPr>
          <w:sz w:val="26"/>
          <w:szCs w:val="26"/>
          <w:rtl/>
        </w:rPr>
        <w:t>כמה תעניות נמשכות יום שלם?</w:t>
      </w:r>
    </w:p>
    <w:p w:rsidR="006226C2" w:rsidRDefault="006226C2" w:rsidP="0066462E">
      <w:pPr>
        <w:pStyle w:val="a3"/>
        <w:numPr>
          <w:ilvl w:val="0"/>
          <w:numId w:val="12"/>
        </w:numPr>
        <w:spacing w:before="120" w:after="120" w:line="26" w:lineRule="atLeast"/>
        <w:contextualSpacing w:val="0"/>
        <w:rPr>
          <w:sz w:val="26"/>
          <w:szCs w:val="26"/>
        </w:rPr>
      </w:pPr>
      <w:r>
        <w:rPr>
          <w:sz w:val="26"/>
          <w:szCs w:val="26"/>
          <w:rtl/>
        </w:rPr>
        <w:t>בכמה תעניות אסור לנעול סנדלי עור?</w:t>
      </w:r>
    </w:p>
    <w:p w:rsidR="006226C2" w:rsidRDefault="006226C2" w:rsidP="0066462E">
      <w:pPr>
        <w:pStyle w:val="a3"/>
        <w:numPr>
          <w:ilvl w:val="0"/>
          <w:numId w:val="12"/>
        </w:numPr>
        <w:spacing w:before="120" w:after="120" w:line="26" w:lineRule="atLeast"/>
        <w:contextualSpacing w:val="0"/>
        <w:rPr>
          <w:sz w:val="26"/>
          <w:szCs w:val="26"/>
        </w:rPr>
      </w:pPr>
      <w:r>
        <w:rPr>
          <w:sz w:val="26"/>
          <w:szCs w:val="26"/>
          <w:rtl/>
        </w:rPr>
        <w:t>בכמה תעניות נועלים את החנויות ומריעים בשופרות?</w:t>
      </w:r>
    </w:p>
    <w:p w:rsidR="006226C2" w:rsidRPr="00DE4540" w:rsidRDefault="006226C2" w:rsidP="0066462E">
      <w:pPr>
        <w:spacing w:before="120" w:after="120" w:line="26" w:lineRule="atLeast"/>
        <w:rPr>
          <w:sz w:val="26"/>
          <w:szCs w:val="26"/>
          <w:rtl/>
        </w:rPr>
      </w:pPr>
      <w:r w:rsidRPr="00DE4540">
        <w:rPr>
          <w:rFonts w:hint="cs"/>
          <w:sz w:val="26"/>
          <w:szCs w:val="26"/>
          <w:highlight w:val="cyan"/>
          <w:rtl/>
        </w:rPr>
        <w:t>אתגר</w:t>
      </w:r>
      <w:r w:rsidRPr="00DE4540">
        <w:rPr>
          <w:rFonts w:hint="cs"/>
          <w:sz w:val="26"/>
          <w:szCs w:val="26"/>
          <w:rtl/>
        </w:rPr>
        <w:t>: חברו עוד שלוש שאלות שניתן לענות עליהן בעזרת הטבלה. הציגו את שאלותיכם בפני הכיתה.</w:t>
      </w:r>
    </w:p>
    <w:p w:rsidR="006226C2" w:rsidRDefault="006226C2" w:rsidP="0066462E">
      <w:pPr>
        <w:spacing w:before="120" w:after="120" w:line="26" w:lineRule="atLeast"/>
        <w:rPr>
          <w:rtl/>
        </w:rPr>
      </w:pPr>
    </w:p>
    <w:p w:rsidR="006226C2" w:rsidRPr="00A26E75" w:rsidRDefault="006226C2" w:rsidP="0066462E">
      <w:pPr>
        <w:spacing w:before="120" w:after="120" w:line="26" w:lineRule="atLeast"/>
        <w:rPr>
          <w:rtl/>
        </w:rPr>
      </w:pPr>
      <w:r>
        <w:rPr>
          <w:rFonts w:hint="cs"/>
          <w:rtl/>
        </w:rPr>
        <w:t>בכיתות חזקות ניתן להגיש לתלמידים טב</w:t>
      </w:r>
      <w:r w:rsidR="009B023E">
        <w:rPr>
          <w:rFonts w:hint="cs"/>
          <w:rtl/>
        </w:rPr>
        <w:t>לה חלקית בלבד, שיעיינו במש</w:t>
      </w:r>
      <w:r>
        <w:rPr>
          <w:rFonts w:hint="cs"/>
          <w:rtl/>
        </w:rPr>
        <w:t>ניות וימלאו אותה בעצמם.</w:t>
      </w:r>
    </w:p>
    <w:p w:rsidR="009B023E" w:rsidRDefault="009B023E" w:rsidP="0066462E">
      <w:pPr>
        <w:spacing w:before="120" w:after="120" w:line="26" w:lineRule="atLeast"/>
        <w:rPr>
          <w:highlight w:val="green"/>
          <w:rtl/>
        </w:rPr>
      </w:pPr>
    </w:p>
    <w:p w:rsidR="001D03C0" w:rsidRDefault="001B50C7" w:rsidP="0066462E">
      <w:pPr>
        <w:spacing w:before="120" w:after="120" w:line="26" w:lineRule="atLeast"/>
        <w:rPr>
          <w:rtl/>
        </w:rPr>
      </w:pPr>
      <w:r w:rsidRPr="00A26E75">
        <w:rPr>
          <w:highlight w:val="green"/>
          <w:rtl/>
        </w:rPr>
        <w:t>משמעות</w:t>
      </w:r>
    </w:p>
    <w:p w:rsidR="006226C2" w:rsidRDefault="00D3652C" w:rsidP="0066462E">
      <w:pPr>
        <w:pStyle w:val="a3"/>
        <w:numPr>
          <w:ilvl w:val="0"/>
          <w:numId w:val="14"/>
        </w:numPr>
        <w:spacing w:before="120" w:after="120" w:line="26" w:lineRule="atLeast"/>
        <w:contextualSpacing w:val="0"/>
      </w:pPr>
      <w:r>
        <w:rPr>
          <w:rFonts w:hint="cs"/>
          <w:rtl/>
        </w:rPr>
        <w:t>ניתן להדגיש את הקושי העצום שבכל כך הרבה תעניות, ואת מה שהוא מראה לנו על צורת החיים שהייתה בימיהם.</w:t>
      </w:r>
    </w:p>
    <w:p w:rsidR="00D3652C" w:rsidRDefault="00D3652C" w:rsidP="0066462E">
      <w:pPr>
        <w:pStyle w:val="a3"/>
        <w:numPr>
          <w:ilvl w:val="0"/>
          <w:numId w:val="14"/>
        </w:numPr>
        <w:spacing w:before="120" w:after="120" w:line="26" w:lineRule="atLeast"/>
        <w:contextualSpacing w:val="0"/>
        <w:rPr>
          <w:rtl/>
        </w:rPr>
      </w:pPr>
      <w:r>
        <w:rPr>
          <w:rFonts w:hint="cs"/>
          <w:rtl/>
        </w:rPr>
        <w:t>ניתן לעמוד על חשיבותה של השבת, שכדי לא לפגוע בה, התירו לפתוח ביום חמשי את חנויות המזון כרגיל.</w:t>
      </w:r>
    </w:p>
    <w:p w:rsidR="00D3652C" w:rsidRPr="00A26E75" w:rsidRDefault="00D3652C" w:rsidP="0066462E">
      <w:pPr>
        <w:spacing w:before="120" w:after="120" w:line="26" w:lineRule="atLeast"/>
        <w:rPr>
          <w:rtl/>
        </w:rPr>
      </w:pPr>
    </w:p>
    <w:p w:rsidR="00AD60F0" w:rsidRPr="00AD60F0" w:rsidRDefault="00AD60F0" w:rsidP="00302041">
      <w:pPr>
        <w:bidi w:val="0"/>
        <w:spacing w:before="120" w:after="120" w:line="26" w:lineRule="atLeast"/>
        <w:rPr>
          <w:sz w:val="26"/>
          <w:szCs w:val="26"/>
        </w:rPr>
      </w:pPr>
    </w:p>
    <w:sectPr w:rsidR="00AD60F0" w:rsidRPr="00AD60F0"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4EF"/>
    <w:multiLevelType w:val="hybridMultilevel"/>
    <w:tmpl w:val="8C62360C"/>
    <w:lvl w:ilvl="0" w:tplc="39E08EB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77E1C"/>
    <w:multiLevelType w:val="hybridMultilevel"/>
    <w:tmpl w:val="4E94F2C6"/>
    <w:lvl w:ilvl="0" w:tplc="D52CADF6">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070801"/>
    <w:multiLevelType w:val="hybridMultilevel"/>
    <w:tmpl w:val="2996A30E"/>
    <w:lvl w:ilvl="0" w:tplc="E606FF14">
      <w:start w:val="1"/>
      <w:numFmt w:val="hebrew1"/>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D41251"/>
    <w:multiLevelType w:val="hybridMultilevel"/>
    <w:tmpl w:val="84EE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F6DE3"/>
    <w:multiLevelType w:val="hybridMultilevel"/>
    <w:tmpl w:val="ACAE304E"/>
    <w:lvl w:ilvl="0" w:tplc="6024D074">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D73340A"/>
    <w:multiLevelType w:val="hybridMultilevel"/>
    <w:tmpl w:val="AA12E0D0"/>
    <w:lvl w:ilvl="0" w:tplc="D0200B7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FC7111"/>
    <w:multiLevelType w:val="hybridMultilevel"/>
    <w:tmpl w:val="71F8A982"/>
    <w:lvl w:ilvl="0" w:tplc="E7B8FC6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772062"/>
    <w:multiLevelType w:val="hybridMultilevel"/>
    <w:tmpl w:val="46E2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934AD1"/>
    <w:multiLevelType w:val="hybridMultilevel"/>
    <w:tmpl w:val="1610D4A0"/>
    <w:lvl w:ilvl="0" w:tplc="2924A78C">
      <w:start w:val="1"/>
      <w:numFmt w:val="hebrew1"/>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AE15F1"/>
    <w:multiLevelType w:val="hybridMultilevel"/>
    <w:tmpl w:val="2C123370"/>
    <w:lvl w:ilvl="0" w:tplc="58FE942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3B37C1"/>
    <w:multiLevelType w:val="hybridMultilevel"/>
    <w:tmpl w:val="95964986"/>
    <w:lvl w:ilvl="0" w:tplc="D4369A28">
      <w:start w:val="1"/>
      <w:numFmt w:val="hebrew1"/>
      <w:lvlText w:val="%1."/>
      <w:lvlJc w:val="left"/>
      <w:pPr>
        <w:ind w:left="678" w:hanging="360"/>
      </w:pPr>
    </w:lvl>
    <w:lvl w:ilvl="1" w:tplc="04090019">
      <w:start w:val="1"/>
      <w:numFmt w:val="lowerLetter"/>
      <w:lvlText w:val="%2."/>
      <w:lvlJc w:val="left"/>
      <w:pPr>
        <w:ind w:left="1398" w:hanging="360"/>
      </w:pPr>
    </w:lvl>
    <w:lvl w:ilvl="2" w:tplc="0409001B">
      <w:start w:val="1"/>
      <w:numFmt w:val="lowerRoman"/>
      <w:lvlText w:val="%3."/>
      <w:lvlJc w:val="right"/>
      <w:pPr>
        <w:ind w:left="2118" w:hanging="180"/>
      </w:pPr>
    </w:lvl>
    <w:lvl w:ilvl="3" w:tplc="0409000F">
      <w:start w:val="1"/>
      <w:numFmt w:val="decimal"/>
      <w:lvlText w:val="%4."/>
      <w:lvlJc w:val="left"/>
      <w:pPr>
        <w:ind w:left="2838" w:hanging="360"/>
      </w:pPr>
    </w:lvl>
    <w:lvl w:ilvl="4" w:tplc="04090019">
      <w:start w:val="1"/>
      <w:numFmt w:val="lowerLetter"/>
      <w:lvlText w:val="%5."/>
      <w:lvlJc w:val="left"/>
      <w:pPr>
        <w:ind w:left="3558" w:hanging="360"/>
      </w:pPr>
    </w:lvl>
    <w:lvl w:ilvl="5" w:tplc="0409001B">
      <w:start w:val="1"/>
      <w:numFmt w:val="lowerRoman"/>
      <w:lvlText w:val="%6."/>
      <w:lvlJc w:val="right"/>
      <w:pPr>
        <w:ind w:left="4278" w:hanging="180"/>
      </w:pPr>
    </w:lvl>
    <w:lvl w:ilvl="6" w:tplc="0409000F">
      <w:start w:val="1"/>
      <w:numFmt w:val="decimal"/>
      <w:lvlText w:val="%7."/>
      <w:lvlJc w:val="left"/>
      <w:pPr>
        <w:ind w:left="4998" w:hanging="360"/>
      </w:pPr>
    </w:lvl>
    <w:lvl w:ilvl="7" w:tplc="04090019">
      <w:start w:val="1"/>
      <w:numFmt w:val="lowerLetter"/>
      <w:lvlText w:val="%8."/>
      <w:lvlJc w:val="left"/>
      <w:pPr>
        <w:ind w:left="5718" w:hanging="360"/>
      </w:pPr>
    </w:lvl>
    <w:lvl w:ilvl="8" w:tplc="0409001B">
      <w:start w:val="1"/>
      <w:numFmt w:val="lowerRoman"/>
      <w:lvlText w:val="%9."/>
      <w:lvlJc w:val="right"/>
      <w:pPr>
        <w:ind w:left="6438" w:hanging="180"/>
      </w:pPr>
    </w:lvl>
  </w:abstractNum>
  <w:abstractNum w:abstractNumId="18">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F2C76"/>
    <w:multiLevelType w:val="hybridMultilevel"/>
    <w:tmpl w:val="4782C022"/>
    <w:lvl w:ilvl="0" w:tplc="7AFA2A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14"/>
  </w:num>
  <w:num w:numId="5">
    <w:abstractNumId w:val="5"/>
  </w:num>
  <w:num w:numId="6">
    <w:abstractNumId w:val="20"/>
  </w:num>
  <w:num w:numId="7">
    <w:abstractNumId w:val="18"/>
  </w:num>
  <w:num w:numId="8">
    <w:abstractNumId w:val="6"/>
  </w:num>
  <w:num w:numId="9">
    <w:abstractNumId w:val="12"/>
  </w:num>
  <w:num w:numId="10">
    <w:abstractNumId w:val="15"/>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2"/>
  </w:compat>
  <w:rsids>
    <w:rsidRoot w:val="006226C2"/>
    <w:rsid w:val="000B045B"/>
    <w:rsid w:val="000B5CD3"/>
    <w:rsid w:val="000C561B"/>
    <w:rsid w:val="000F3005"/>
    <w:rsid w:val="001269DD"/>
    <w:rsid w:val="0019654E"/>
    <w:rsid w:val="001B50C7"/>
    <w:rsid w:val="001D03C0"/>
    <w:rsid w:val="00271226"/>
    <w:rsid w:val="00302041"/>
    <w:rsid w:val="00312906"/>
    <w:rsid w:val="003F4355"/>
    <w:rsid w:val="00452F3C"/>
    <w:rsid w:val="0051555E"/>
    <w:rsid w:val="00556AF9"/>
    <w:rsid w:val="006226C2"/>
    <w:rsid w:val="0066462E"/>
    <w:rsid w:val="007C1AF3"/>
    <w:rsid w:val="0080190D"/>
    <w:rsid w:val="008505C7"/>
    <w:rsid w:val="008644CA"/>
    <w:rsid w:val="009269E0"/>
    <w:rsid w:val="00995B68"/>
    <w:rsid w:val="009B023E"/>
    <w:rsid w:val="00A23042"/>
    <w:rsid w:val="00A26E75"/>
    <w:rsid w:val="00AA35DA"/>
    <w:rsid w:val="00AC3E63"/>
    <w:rsid w:val="00AD60F0"/>
    <w:rsid w:val="00B53636"/>
    <w:rsid w:val="00BC67BF"/>
    <w:rsid w:val="00C14600"/>
    <w:rsid w:val="00C313C5"/>
    <w:rsid w:val="00C32100"/>
    <w:rsid w:val="00C913B2"/>
    <w:rsid w:val="00CA3050"/>
    <w:rsid w:val="00CD2095"/>
    <w:rsid w:val="00D352D9"/>
    <w:rsid w:val="00D3652C"/>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table" w:styleId="-1">
    <w:name w:val="Light List Accent 1"/>
    <w:basedOn w:val="a1"/>
    <w:uiPriority w:val="61"/>
    <w:rsid w:val="006226C2"/>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d">
    <w:name w:val="Table Grid"/>
    <w:basedOn w:val="a1"/>
    <w:uiPriority w:val="59"/>
    <w:rsid w:val="00AD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2</Pages>
  <Words>504</Words>
  <Characters>2525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4</cp:revision>
  <dcterms:created xsi:type="dcterms:W3CDTF">2016-06-21T09:45:00Z</dcterms:created>
  <dcterms:modified xsi:type="dcterms:W3CDTF">2016-12-12T17:37:00Z</dcterms:modified>
</cp:coreProperties>
</file>