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EC3AE4">
      <w:pPr>
        <w:pStyle w:val="3"/>
        <w:spacing w:before="120" w:after="120" w:line="24" w:lineRule="atLeast"/>
        <w:rPr>
          <w:rtl/>
        </w:rPr>
      </w:pPr>
      <w:r w:rsidRPr="00A26E75">
        <w:rPr>
          <w:rtl/>
        </w:rPr>
        <w:t>מדריך למורה</w:t>
      </w:r>
    </w:p>
    <w:p w:rsidR="008505C7" w:rsidRPr="00A26E75" w:rsidRDefault="008505C7" w:rsidP="00EC3AE4">
      <w:pPr>
        <w:pStyle w:val="3"/>
        <w:spacing w:before="120" w:after="120" w:line="24" w:lineRule="atLeast"/>
        <w:rPr>
          <w:rtl/>
        </w:rPr>
      </w:pPr>
      <w:bookmarkStart w:id="0" w:name="_GoBack"/>
      <w:bookmarkEnd w:id="0"/>
      <w:r w:rsidRPr="00A26E75">
        <w:rPr>
          <w:rtl/>
        </w:rPr>
        <w:t>מסכת</w:t>
      </w:r>
      <w:r w:rsidR="00422AA0">
        <w:rPr>
          <w:rFonts w:hint="cs"/>
          <w:rtl/>
        </w:rPr>
        <w:t xml:space="preserve"> סוכה</w:t>
      </w:r>
      <w:r w:rsidRPr="00A26E75">
        <w:rPr>
          <w:rtl/>
        </w:rPr>
        <w:t xml:space="preserve"> פרק </w:t>
      </w:r>
      <w:r w:rsidR="00422AA0">
        <w:rPr>
          <w:rFonts w:hint="cs"/>
          <w:rtl/>
        </w:rPr>
        <w:t>ב</w:t>
      </w:r>
      <w:r w:rsidRPr="00A26E75">
        <w:rPr>
          <w:rtl/>
        </w:rPr>
        <w:t xml:space="preserve"> משנה </w:t>
      </w:r>
      <w:r w:rsidR="00422AA0">
        <w:rPr>
          <w:rFonts w:hint="cs"/>
          <w:rtl/>
        </w:rPr>
        <w:t>ה</w:t>
      </w:r>
    </w:p>
    <w:p w:rsidR="00422AA0" w:rsidRDefault="00422AA0" w:rsidP="00EC3AE4">
      <w:pPr>
        <w:pStyle w:val="1"/>
        <w:spacing w:line="24" w:lineRule="atLeast"/>
        <w:rPr>
          <w:rtl/>
        </w:rPr>
      </w:pPr>
      <w:r w:rsidRPr="00422AA0">
        <w:rPr>
          <w:rtl/>
        </w:rPr>
        <w:t>אכילת עראי ושתיית עראי מחוץ לסוכה</w:t>
      </w:r>
    </w:p>
    <w:p w:rsidR="00A23042" w:rsidRPr="00A26E75" w:rsidRDefault="00422AA0" w:rsidP="00EC3AE4">
      <w:pPr>
        <w:spacing w:before="120" w:after="120" w:line="24" w:lineRule="atLeast"/>
        <w:rPr>
          <w:rtl/>
        </w:rPr>
      </w:pPr>
      <w:r>
        <w:rPr>
          <w:rFonts w:hint="cs"/>
          <w:rtl/>
        </w:rPr>
        <w:t xml:space="preserve">העיסוק המרכזי של משנתנו הוא בדין שבו הסתיימה המשנה הקודמת </w:t>
      </w:r>
      <w:r>
        <w:rPr>
          <w:rtl/>
        </w:rPr>
        <w:t>–</w:t>
      </w:r>
      <w:r>
        <w:rPr>
          <w:rFonts w:hint="cs"/>
          <w:rtl/>
        </w:rPr>
        <w:t xml:space="preserve"> "</w:t>
      </w:r>
      <w:proofErr w:type="spellStart"/>
      <w:r>
        <w:rPr>
          <w:rFonts w:hint="cs"/>
          <w:rtl/>
        </w:rPr>
        <w:t>אוכלין</w:t>
      </w:r>
      <w:proofErr w:type="spellEnd"/>
      <w:r>
        <w:rPr>
          <w:rFonts w:hint="cs"/>
          <w:rtl/>
        </w:rPr>
        <w:t xml:space="preserve"> </w:t>
      </w:r>
      <w:proofErr w:type="spellStart"/>
      <w:r>
        <w:rPr>
          <w:rFonts w:hint="cs"/>
          <w:rtl/>
        </w:rPr>
        <w:t>ושותין</w:t>
      </w:r>
      <w:proofErr w:type="spellEnd"/>
      <w:r>
        <w:rPr>
          <w:rFonts w:hint="cs"/>
          <w:rtl/>
        </w:rPr>
        <w:t xml:space="preserve"> עראי מחוץ לסוכה". דרך אגב, אנו לומדים מהתנהגותו של רבי צדוק על ההיתר לאכול לחם ללא נטילה כשאוחזים את הלחם במפה, ואת דעתו בעניין כמות הלחם המחייבת ברכת המזון.</w:t>
      </w:r>
    </w:p>
    <w:p w:rsidR="00A23042" w:rsidRPr="00A26E75" w:rsidRDefault="00A23042" w:rsidP="00EC3AE4">
      <w:pPr>
        <w:spacing w:before="120" w:after="120" w:line="24" w:lineRule="atLeast"/>
        <w:rPr>
          <w:rtl/>
        </w:rPr>
      </w:pPr>
      <w:r w:rsidRPr="00A26E75">
        <w:rPr>
          <w:b/>
          <w:bCs/>
          <w:rtl/>
        </w:rPr>
        <w:t>משך ההוראה</w:t>
      </w:r>
      <w:r w:rsidRPr="00A26E75">
        <w:rPr>
          <w:rtl/>
        </w:rPr>
        <w:t xml:space="preserve">: </w:t>
      </w:r>
      <w:r w:rsidR="00422AA0">
        <w:rPr>
          <w:rFonts w:hint="cs"/>
          <w:rtl/>
        </w:rPr>
        <w:t>שיעור אחד</w:t>
      </w:r>
    </w:p>
    <w:p w:rsidR="00A23042" w:rsidRPr="00A26E75" w:rsidRDefault="00A23042" w:rsidP="00EC3AE4">
      <w:pPr>
        <w:spacing w:before="120" w:after="120" w:line="24" w:lineRule="atLeast"/>
        <w:rPr>
          <w:rtl/>
        </w:rPr>
      </w:pPr>
    </w:p>
    <w:p w:rsidR="000B5CD3" w:rsidRPr="00A26E75" w:rsidRDefault="000B5CD3" w:rsidP="00EC3AE4">
      <w:pPr>
        <w:spacing w:before="120" w:after="120" w:line="24" w:lineRule="atLeast"/>
        <w:rPr>
          <w:rtl/>
        </w:rPr>
      </w:pPr>
      <w:r w:rsidRPr="00A26E75">
        <w:rPr>
          <w:highlight w:val="green"/>
          <w:rtl/>
        </w:rPr>
        <w:t>נוסח המשנה</w:t>
      </w:r>
    </w:p>
    <w:p w:rsidR="00422AA0" w:rsidRDefault="00422AA0" w:rsidP="00EC3AE4">
      <w:pPr>
        <w:pStyle w:val="2"/>
        <w:rPr>
          <w:rtl/>
        </w:rPr>
      </w:pPr>
      <w:r>
        <w:rPr>
          <w:rtl/>
        </w:rPr>
        <w:t xml:space="preserve">מַּעֲשֶׂה וְהֵבִיאוּ לוֹ לְרַבָּן יוֹחָנָן בֶּן זַכַּאי לִטְעֹם אֶת הַתַּבְשִׁיל, </w:t>
      </w:r>
    </w:p>
    <w:p w:rsidR="00422AA0" w:rsidRDefault="00422AA0" w:rsidP="00EC3AE4">
      <w:pPr>
        <w:pStyle w:val="2"/>
        <w:rPr>
          <w:rtl/>
        </w:rPr>
      </w:pPr>
      <w:r>
        <w:rPr>
          <w:rtl/>
        </w:rPr>
        <w:t xml:space="preserve">וּלְרַבָּן גַּמְלִיאֵל שְׁתֵּי כוֹתָבוֹת וּדְלִי שֶׁל מָיִם, </w:t>
      </w:r>
    </w:p>
    <w:p w:rsidR="00422AA0" w:rsidRDefault="00422AA0" w:rsidP="00EC3AE4">
      <w:pPr>
        <w:pStyle w:val="2"/>
        <w:rPr>
          <w:rtl/>
        </w:rPr>
      </w:pPr>
      <w:r>
        <w:rPr>
          <w:rtl/>
        </w:rPr>
        <w:t xml:space="preserve">וְאָמְרוּ: הַעֲלוּם לַסֻּכָּה. </w:t>
      </w:r>
    </w:p>
    <w:p w:rsidR="00422AA0" w:rsidRDefault="00422AA0" w:rsidP="00EC3AE4">
      <w:pPr>
        <w:pStyle w:val="2"/>
        <w:rPr>
          <w:rtl/>
        </w:rPr>
      </w:pPr>
    </w:p>
    <w:p w:rsidR="00422AA0" w:rsidRDefault="00422AA0" w:rsidP="00EC3AE4">
      <w:pPr>
        <w:pStyle w:val="2"/>
        <w:rPr>
          <w:rtl/>
        </w:rPr>
      </w:pPr>
      <w:r>
        <w:rPr>
          <w:rtl/>
        </w:rPr>
        <w:t xml:space="preserve">וּכְשֶׁנָּתְנוּ לוֹ לְרַבִּי צָדוֹק אֹכֶל פָּחוֹת </w:t>
      </w:r>
      <w:proofErr w:type="spellStart"/>
      <w:r>
        <w:rPr>
          <w:rtl/>
        </w:rPr>
        <w:t>מִכַּבֵּיצָה</w:t>
      </w:r>
      <w:proofErr w:type="spellEnd"/>
      <w:r>
        <w:rPr>
          <w:rtl/>
        </w:rPr>
        <w:t xml:space="preserve">, </w:t>
      </w:r>
    </w:p>
    <w:p w:rsidR="00A23042" w:rsidRPr="00A26E75" w:rsidRDefault="00422AA0" w:rsidP="00EC3AE4">
      <w:pPr>
        <w:pStyle w:val="2"/>
        <w:rPr>
          <w:rtl/>
        </w:rPr>
      </w:pPr>
      <w:r>
        <w:rPr>
          <w:rtl/>
        </w:rPr>
        <w:t>נְטָלוֹ בַּמַּפָּה, וַאֲכָלוֹ חוּץ לַסֻּכָּה, וְלֹא בֵּרַךְ אַחֲרָיו.</w:t>
      </w:r>
    </w:p>
    <w:p w:rsidR="00A23042" w:rsidRPr="00A26E75" w:rsidRDefault="00A23042" w:rsidP="00EC3AE4">
      <w:pPr>
        <w:spacing w:before="120" w:after="120" w:line="24" w:lineRule="atLeast"/>
        <w:rPr>
          <w:rtl/>
        </w:rPr>
      </w:pPr>
    </w:p>
    <w:p w:rsidR="000B5CD3" w:rsidRDefault="00271226" w:rsidP="00EC3AE4">
      <w:pPr>
        <w:spacing w:before="120" w:after="120" w:line="24" w:lineRule="atLeast"/>
        <w:rPr>
          <w:rtl/>
        </w:rPr>
      </w:pPr>
      <w:r w:rsidRPr="00A26E75">
        <w:rPr>
          <w:highlight w:val="green"/>
          <w:rtl/>
        </w:rPr>
        <w:t>מבנה:</w:t>
      </w:r>
      <w:r w:rsidRPr="00A26E75">
        <w:rPr>
          <w:rtl/>
        </w:rPr>
        <w:t xml:space="preserve"> </w:t>
      </w:r>
    </w:p>
    <w:p w:rsidR="00422AA0" w:rsidRDefault="00422AA0" w:rsidP="00EC3AE4">
      <w:pPr>
        <w:pStyle w:val="a3"/>
        <w:numPr>
          <w:ilvl w:val="0"/>
          <w:numId w:val="11"/>
        </w:numPr>
        <w:spacing w:before="120" w:after="120" w:line="24" w:lineRule="atLeast"/>
        <w:contextualSpacing w:val="0"/>
      </w:pPr>
      <w:r>
        <w:rPr>
          <w:rFonts w:hint="cs"/>
          <w:rtl/>
        </w:rPr>
        <w:t>חלוקת המשנה לרישא ולסיפא.</w:t>
      </w:r>
    </w:p>
    <w:p w:rsidR="00422AA0" w:rsidRPr="00A26E75" w:rsidRDefault="00422AA0" w:rsidP="00EC3AE4">
      <w:pPr>
        <w:pStyle w:val="a3"/>
        <w:numPr>
          <w:ilvl w:val="0"/>
          <w:numId w:val="11"/>
        </w:numPr>
        <w:spacing w:before="120" w:after="120" w:line="24" w:lineRule="atLeast"/>
        <w:contextualSpacing w:val="0"/>
        <w:rPr>
          <w:rtl/>
        </w:rPr>
      </w:pPr>
      <w:r>
        <w:rPr>
          <w:rFonts w:hint="cs"/>
          <w:rtl/>
        </w:rPr>
        <w:t>על מי מסופר ברישא ועל מי מסופר בסיפא?</w:t>
      </w:r>
    </w:p>
    <w:p w:rsidR="000B5CD3" w:rsidRDefault="000B5CD3" w:rsidP="00EC3AE4">
      <w:pPr>
        <w:spacing w:before="120" w:after="120" w:line="24" w:lineRule="atLeast"/>
        <w:rPr>
          <w:rtl/>
        </w:rPr>
      </w:pPr>
      <w:r w:rsidRPr="00A26E75">
        <w:rPr>
          <w:highlight w:val="green"/>
          <w:rtl/>
        </w:rPr>
        <w:t>תוכן</w:t>
      </w:r>
    </w:p>
    <w:p w:rsidR="00591C83" w:rsidRDefault="00591C83" w:rsidP="00EC3AE4">
      <w:pPr>
        <w:spacing w:before="120" w:after="120" w:line="24" w:lineRule="atLeast"/>
        <w:rPr>
          <w:rtl/>
        </w:rPr>
      </w:pPr>
      <w:r>
        <w:rPr>
          <w:rFonts w:hint="cs"/>
          <w:rtl/>
        </w:rPr>
        <w:t xml:space="preserve">לפני לימוד הרישא נזכיר את מה שלמדנו בסוף המשנה הקודמת </w:t>
      </w:r>
      <w:r>
        <w:rPr>
          <w:rtl/>
        </w:rPr>
        <w:t>–</w:t>
      </w:r>
      <w:r>
        <w:rPr>
          <w:rFonts w:hint="cs"/>
          <w:rtl/>
        </w:rPr>
        <w:t xml:space="preserve"> שמותר לאכול ולשתות באופן עראי מחוץ לסוכה.</w:t>
      </w:r>
    </w:p>
    <w:p w:rsidR="00422AA0" w:rsidRDefault="00422AA0" w:rsidP="00EC3AE4">
      <w:pPr>
        <w:spacing w:before="120" w:after="120" w:line="24" w:lineRule="atLeast"/>
        <w:rPr>
          <w:highlight w:val="cyan"/>
          <w:rtl/>
        </w:rPr>
      </w:pPr>
      <w:r w:rsidRPr="00422AA0">
        <w:rPr>
          <w:rFonts w:hint="cs"/>
          <w:highlight w:val="cyan"/>
          <w:rtl/>
        </w:rPr>
        <w:t>רישא:</w:t>
      </w:r>
    </w:p>
    <w:p w:rsidR="00591C83" w:rsidRDefault="00591C83" w:rsidP="00EC3AE4">
      <w:pPr>
        <w:pStyle w:val="2"/>
        <w:rPr>
          <w:rtl/>
        </w:rPr>
      </w:pPr>
      <w:r>
        <w:rPr>
          <w:rtl/>
        </w:rPr>
        <w:t xml:space="preserve">מַּעֲשֶׂה וְהֵבִיאוּ לוֹ </w:t>
      </w:r>
      <w:r w:rsidRPr="00CD260D">
        <w:rPr>
          <w:color w:val="FF0000"/>
          <w:rtl/>
        </w:rPr>
        <w:t>לְרַבָּן יוֹחָנָן בֶּן זַכַּאי</w:t>
      </w:r>
      <w:r>
        <w:rPr>
          <w:rtl/>
        </w:rPr>
        <w:t xml:space="preserve"> </w:t>
      </w:r>
      <w:r w:rsidRPr="00CD260D">
        <w:rPr>
          <w:color w:val="00B0F0"/>
          <w:rtl/>
        </w:rPr>
        <w:t>לִטְעֹם</w:t>
      </w:r>
      <w:r>
        <w:rPr>
          <w:rtl/>
        </w:rPr>
        <w:t xml:space="preserve"> אֶת הַתַּבְשִׁיל, </w:t>
      </w:r>
    </w:p>
    <w:p w:rsidR="00591C83" w:rsidRDefault="00591C83" w:rsidP="00EC3AE4">
      <w:pPr>
        <w:pStyle w:val="2"/>
        <w:rPr>
          <w:rtl/>
        </w:rPr>
      </w:pPr>
      <w:r w:rsidRPr="00CD260D">
        <w:rPr>
          <w:color w:val="FF0000"/>
          <w:rtl/>
        </w:rPr>
        <w:t>וּלְרַבָּן גַּמְלִיאֵל</w:t>
      </w:r>
      <w:r>
        <w:rPr>
          <w:rtl/>
        </w:rPr>
        <w:t xml:space="preserve"> שְׁתֵּי </w:t>
      </w:r>
      <w:r w:rsidRPr="00CD260D">
        <w:rPr>
          <w:color w:val="00B0F0"/>
          <w:rtl/>
        </w:rPr>
        <w:t>כוֹתָבוֹת</w:t>
      </w:r>
      <w:r>
        <w:rPr>
          <w:rtl/>
        </w:rPr>
        <w:t xml:space="preserve"> וּדְלִי שֶׁל </w:t>
      </w:r>
      <w:r w:rsidRPr="00CD260D">
        <w:rPr>
          <w:color w:val="00B0F0"/>
          <w:rtl/>
        </w:rPr>
        <w:t>מָיִם</w:t>
      </w:r>
      <w:r>
        <w:rPr>
          <w:rtl/>
        </w:rPr>
        <w:t xml:space="preserve">, </w:t>
      </w:r>
    </w:p>
    <w:p w:rsidR="00591C83" w:rsidRDefault="00591C83" w:rsidP="00EC3AE4">
      <w:pPr>
        <w:pStyle w:val="2"/>
        <w:rPr>
          <w:rtl/>
        </w:rPr>
      </w:pPr>
      <w:r>
        <w:rPr>
          <w:rtl/>
        </w:rPr>
        <w:t xml:space="preserve">וְאָמְרוּ: הַעֲלוּם לַסֻּכָּה. </w:t>
      </w:r>
    </w:p>
    <w:p w:rsidR="00422AA0" w:rsidRDefault="00422AA0" w:rsidP="00EC3AE4">
      <w:pPr>
        <w:spacing w:before="120" w:after="120" w:line="24" w:lineRule="atLeast"/>
        <w:rPr>
          <w:highlight w:val="cyan"/>
          <w:rtl/>
        </w:rPr>
      </w:pPr>
    </w:p>
    <w:p w:rsidR="00591C83" w:rsidRDefault="00591C83" w:rsidP="00EC3AE4">
      <w:pPr>
        <w:spacing w:before="120" w:after="120" w:line="24" w:lineRule="atLeast"/>
        <w:rPr>
          <w:rtl/>
        </w:rPr>
      </w:pPr>
      <w:r>
        <w:rPr>
          <w:rFonts w:hint="cs"/>
          <w:rtl/>
        </w:rPr>
        <w:t>ב</w:t>
      </w:r>
      <w:r w:rsidRPr="00591C83">
        <w:rPr>
          <w:rFonts w:hint="cs"/>
          <w:rtl/>
        </w:rPr>
        <w:t>ריש</w:t>
      </w:r>
      <w:r>
        <w:rPr>
          <w:rFonts w:hint="cs"/>
          <w:rtl/>
        </w:rPr>
        <w:t xml:space="preserve">א מובא חלק א של המעשה. רבן יוחנן בן זכאי ורבן גמליאל לא רצו לאכול אכילת עראי מחוץ לסוכה אף על פי שהדבר מותר. כיצד אנו יודעים שמדובר באכילת ושתיית עראי? נדייק במילים: לרבן יוחנן בן זכאי לא נתנו לאכול תבשיל אלא רק </w:t>
      </w:r>
      <w:r w:rsidRPr="00591C83">
        <w:rPr>
          <w:rFonts w:hint="cs"/>
          <w:b/>
          <w:bCs/>
          <w:rtl/>
        </w:rPr>
        <w:t>לטעום</w:t>
      </w:r>
      <w:r>
        <w:rPr>
          <w:rFonts w:hint="cs"/>
          <w:rtl/>
        </w:rPr>
        <w:t xml:space="preserve">, ואילו לרבן גמליאל נתנו </w:t>
      </w:r>
      <w:r w:rsidRPr="00CD260D">
        <w:rPr>
          <w:rFonts w:hint="cs"/>
          <w:b/>
          <w:bCs/>
          <w:rtl/>
        </w:rPr>
        <w:t>כותבות</w:t>
      </w:r>
      <w:r>
        <w:rPr>
          <w:rFonts w:hint="cs"/>
          <w:rtl/>
        </w:rPr>
        <w:t xml:space="preserve"> (-תמרים)</w:t>
      </w:r>
      <w:r w:rsidR="00CD260D">
        <w:rPr>
          <w:rFonts w:hint="cs"/>
          <w:rtl/>
        </w:rPr>
        <w:t xml:space="preserve"> ו</w:t>
      </w:r>
      <w:r w:rsidR="00CD260D" w:rsidRPr="00CD260D">
        <w:rPr>
          <w:rFonts w:hint="cs"/>
          <w:b/>
          <w:bCs/>
          <w:rtl/>
        </w:rPr>
        <w:t>מים</w:t>
      </w:r>
      <w:r w:rsidR="00CD260D">
        <w:rPr>
          <w:rFonts w:hint="cs"/>
          <w:rtl/>
        </w:rPr>
        <w:t>, שהם דברים שתמיד נחשבים אכילת עראי.</w:t>
      </w:r>
    </w:p>
    <w:p w:rsidR="00CD260D" w:rsidRDefault="00CD260D" w:rsidP="00EC3AE4">
      <w:pPr>
        <w:spacing w:before="120" w:after="120" w:line="24" w:lineRule="atLeast"/>
        <w:rPr>
          <w:rtl/>
        </w:rPr>
      </w:pPr>
      <w:r>
        <w:rPr>
          <w:rFonts w:hint="cs"/>
          <w:rtl/>
        </w:rPr>
        <w:t xml:space="preserve">נעלה את השאלה </w:t>
      </w:r>
      <w:r>
        <w:rPr>
          <w:rtl/>
        </w:rPr>
        <w:t>–</w:t>
      </w:r>
      <w:r>
        <w:rPr>
          <w:rFonts w:hint="cs"/>
          <w:rtl/>
        </w:rPr>
        <w:t xml:space="preserve"> אם מדובר באכילת עראי </w:t>
      </w:r>
      <w:r>
        <w:rPr>
          <w:rtl/>
        </w:rPr>
        <w:t>–</w:t>
      </w:r>
      <w:r>
        <w:rPr>
          <w:rFonts w:hint="cs"/>
          <w:rtl/>
        </w:rPr>
        <w:t xml:space="preserve"> מדוע אמרו להעלות את המאכלים לסוכה? והתשובה </w:t>
      </w:r>
      <w:r>
        <w:rPr>
          <w:rtl/>
        </w:rPr>
        <w:t>–</w:t>
      </w:r>
      <w:r>
        <w:rPr>
          <w:rFonts w:hint="cs"/>
          <w:rtl/>
        </w:rPr>
        <w:t xml:space="preserve"> הם </w:t>
      </w:r>
      <w:r w:rsidRPr="00CD260D">
        <w:rPr>
          <w:rFonts w:hint="cs"/>
          <w:b/>
          <w:bCs/>
          <w:rtl/>
        </w:rPr>
        <w:t>החמירו על עצמם</w:t>
      </w:r>
      <w:r>
        <w:rPr>
          <w:rFonts w:hint="cs"/>
          <w:rtl/>
        </w:rPr>
        <w:t>!</w:t>
      </w:r>
    </w:p>
    <w:p w:rsidR="00CD260D" w:rsidRDefault="00CD260D" w:rsidP="00EC3AE4">
      <w:pPr>
        <w:spacing w:before="120" w:after="120" w:line="24" w:lineRule="atLeast"/>
        <w:rPr>
          <w:rtl/>
        </w:rPr>
      </w:pPr>
    </w:p>
    <w:p w:rsidR="00CD260D" w:rsidRDefault="00CD260D" w:rsidP="00EC3AE4">
      <w:pPr>
        <w:spacing w:before="120" w:after="120" w:line="24" w:lineRule="atLeast"/>
        <w:rPr>
          <w:rtl/>
        </w:rPr>
      </w:pPr>
      <w:r w:rsidRPr="00CD260D">
        <w:rPr>
          <w:rFonts w:hint="cs"/>
          <w:highlight w:val="cyan"/>
          <w:rtl/>
        </w:rPr>
        <w:t>סיפא:</w:t>
      </w:r>
    </w:p>
    <w:p w:rsidR="00CD260D" w:rsidRDefault="00CD260D" w:rsidP="00EC3AE4">
      <w:pPr>
        <w:spacing w:before="120" w:after="120" w:line="24" w:lineRule="atLeast"/>
        <w:rPr>
          <w:rtl/>
        </w:rPr>
      </w:pPr>
      <w:r>
        <w:rPr>
          <w:rFonts w:hint="cs"/>
          <w:rtl/>
        </w:rPr>
        <w:t>בסיפא של המשנה אנו לומדים על רבי צדוק, שמהתנהגותו נלמדו כמה הלכות (חשוב להדגיש בפני התלמידים שחלק מהדברים שרבי צדוק עשה לא נפסקו להלכה, וכפי שנפרט בהמשך).</w:t>
      </w:r>
    </w:p>
    <w:p w:rsidR="00CD260D" w:rsidRDefault="00CD260D" w:rsidP="00EC3AE4">
      <w:pPr>
        <w:pStyle w:val="a3"/>
        <w:numPr>
          <w:ilvl w:val="0"/>
          <w:numId w:val="12"/>
        </w:numPr>
        <w:spacing w:before="120" w:after="120" w:line="24" w:lineRule="atLeast"/>
        <w:contextualSpacing w:val="0"/>
      </w:pPr>
      <w:r>
        <w:rPr>
          <w:rtl/>
        </w:rPr>
        <w:t xml:space="preserve">וּכְשֶׁנָּתְנוּ לוֹ </w:t>
      </w:r>
      <w:r w:rsidRPr="00CD260D">
        <w:rPr>
          <w:color w:val="FF0000"/>
          <w:rtl/>
        </w:rPr>
        <w:t>לְרַבִּי צָדוֹק</w:t>
      </w:r>
      <w:r>
        <w:rPr>
          <w:rtl/>
        </w:rPr>
        <w:t xml:space="preserve"> אֹכֶל </w:t>
      </w:r>
      <w:r w:rsidRPr="00CD260D">
        <w:rPr>
          <w:b/>
          <w:bCs/>
          <w:rtl/>
        </w:rPr>
        <w:t xml:space="preserve">פָּחוֹת </w:t>
      </w:r>
      <w:proofErr w:type="spellStart"/>
      <w:r w:rsidRPr="00CD260D">
        <w:rPr>
          <w:b/>
          <w:bCs/>
          <w:rtl/>
        </w:rPr>
        <w:t>מִכַּבֵּיצָה</w:t>
      </w:r>
      <w:proofErr w:type="spellEnd"/>
      <w:r>
        <w:rPr>
          <w:rtl/>
        </w:rPr>
        <w:t xml:space="preserve">, </w:t>
      </w:r>
    </w:p>
    <w:p w:rsidR="00CD260D" w:rsidRPr="00CD260D" w:rsidRDefault="00CD260D" w:rsidP="00EC3AE4">
      <w:pPr>
        <w:spacing w:before="120" w:after="120" w:line="24" w:lineRule="atLeast"/>
        <w:rPr>
          <w:rtl/>
        </w:rPr>
      </w:pPr>
      <w:r>
        <w:rPr>
          <w:rFonts w:hint="cs"/>
          <w:rtl/>
        </w:rPr>
        <w:t xml:space="preserve">כאן נגדיר שכביצה זו כמות לחם השווה לשתי פרוסות לחם של ימינו (יש בכך כמה דעות בהלכה, והלכנו לפי הדעה המקובלת על רוב הפוסקים), ומכאן שרבי צדוק אכל פחות </w:t>
      </w:r>
      <w:r w:rsidRPr="00CD260D">
        <w:rPr>
          <w:rFonts w:hint="cs"/>
          <w:b/>
          <w:bCs/>
          <w:rtl/>
        </w:rPr>
        <w:t>משתי פרוסות לחם</w:t>
      </w:r>
      <w:r>
        <w:rPr>
          <w:rFonts w:hint="cs"/>
          <w:rtl/>
        </w:rPr>
        <w:t>. זהו נתון חשוב ושווה להתעכב עליו.</w:t>
      </w:r>
    </w:p>
    <w:p w:rsidR="00CD260D" w:rsidRDefault="00CD260D" w:rsidP="00EC3AE4">
      <w:pPr>
        <w:pStyle w:val="a3"/>
        <w:numPr>
          <w:ilvl w:val="0"/>
          <w:numId w:val="12"/>
        </w:numPr>
        <w:spacing w:before="120" w:after="120" w:line="24" w:lineRule="atLeast"/>
        <w:contextualSpacing w:val="0"/>
      </w:pPr>
      <w:r>
        <w:rPr>
          <w:rtl/>
        </w:rPr>
        <w:t xml:space="preserve">נְטָלוֹ בַּמַּפָּה, </w:t>
      </w:r>
    </w:p>
    <w:p w:rsidR="00CD260D" w:rsidRDefault="00CD260D" w:rsidP="00EC3AE4">
      <w:pPr>
        <w:spacing w:before="120" w:after="120" w:line="24" w:lineRule="atLeast"/>
        <w:rPr>
          <w:rtl/>
        </w:rPr>
      </w:pPr>
      <w:r>
        <w:rPr>
          <w:rFonts w:hint="cs"/>
          <w:rtl/>
        </w:rPr>
        <w:lastRenderedPageBreak/>
        <w:t>מדוע נטל רבי צדוק את הלחם במפה ולא נגע בו? התשובה היא שכך הוא נפטר מנטילת ידיים. נדגיש שלהלכה זהו פתרון מקובל רק במצב שאין מים במרחק סביר, ולא פתרון למצבים שגרתיים!</w:t>
      </w:r>
    </w:p>
    <w:p w:rsidR="00CD260D" w:rsidRDefault="00CD260D" w:rsidP="00EC3AE4">
      <w:pPr>
        <w:pStyle w:val="a3"/>
        <w:numPr>
          <w:ilvl w:val="0"/>
          <w:numId w:val="12"/>
        </w:numPr>
        <w:spacing w:before="120" w:after="120" w:line="24" w:lineRule="atLeast"/>
        <w:contextualSpacing w:val="0"/>
      </w:pPr>
      <w:r>
        <w:rPr>
          <w:rtl/>
        </w:rPr>
        <w:t xml:space="preserve">וַאֲכָלוֹ חוּץ לַסֻּכָּה, </w:t>
      </w:r>
    </w:p>
    <w:p w:rsidR="00CD260D" w:rsidRDefault="00CD260D" w:rsidP="00EC3AE4">
      <w:pPr>
        <w:spacing w:before="120" w:after="120" w:line="24" w:lineRule="atLeast"/>
        <w:rPr>
          <w:rtl/>
        </w:rPr>
      </w:pPr>
      <w:r>
        <w:rPr>
          <w:rFonts w:hint="cs"/>
          <w:rtl/>
        </w:rPr>
        <w:t xml:space="preserve">לאחר שהגדרנו שרבי צדוק אכל פחות </w:t>
      </w:r>
      <w:proofErr w:type="spellStart"/>
      <w:r>
        <w:rPr>
          <w:rFonts w:hint="cs"/>
          <w:rtl/>
        </w:rPr>
        <w:t>מכביצה</w:t>
      </w:r>
      <w:proofErr w:type="spellEnd"/>
      <w:r>
        <w:rPr>
          <w:rFonts w:hint="cs"/>
          <w:rtl/>
        </w:rPr>
        <w:t xml:space="preserve">, הרי שברור למה מותר היה לו לאכול מחוץ לסוכה </w:t>
      </w:r>
      <w:r>
        <w:rPr>
          <w:rtl/>
        </w:rPr>
        <w:t>–</w:t>
      </w:r>
      <w:r>
        <w:rPr>
          <w:rFonts w:hint="cs"/>
          <w:rtl/>
        </w:rPr>
        <w:t xml:space="preserve"> זוהי כמות לא גדולה ולכן האכילה נחשבת אכילת עראי. (בחבורת התלמידים יידרשו להבין זאת בשאלה סגורה, ולא בשאלה פתוחה, מפני שזו נקודה מעט קשה)</w:t>
      </w:r>
    </w:p>
    <w:p w:rsidR="00CD260D" w:rsidRDefault="00CD260D" w:rsidP="00EC3AE4">
      <w:pPr>
        <w:pStyle w:val="a3"/>
        <w:numPr>
          <w:ilvl w:val="0"/>
          <w:numId w:val="12"/>
        </w:numPr>
        <w:spacing w:before="120" w:after="120" w:line="24" w:lineRule="atLeast"/>
        <w:contextualSpacing w:val="0"/>
      </w:pPr>
      <w:r>
        <w:rPr>
          <w:rtl/>
        </w:rPr>
        <w:t>וְלֹא בֵּרַךְ אַחֲרָיו.</w:t>
      </w:r>
    </w:p>
    <w:p w:rsidR="00CD260D" w:rsidRPr="00A26E75" w:rsidRDefault="00CD260D" w:rsidP="00EC3AE4">
      <w:pPr>
        <w:spacing w:before="120" w:after="120" w:line="24" w:lineRule="atLeast"/>
        <w:rPr>
          <w:rtl/>
        </w:rPr>
      </w:pPr>
      <w:r>
        <w:rPr>
          <w:rFonts w:hint="cs"/>
          <w:rtl/>
        </w:rPr>
        <w:t>האם ייתכן שרבי צדוק שכח לברך? האם ייתכן שצדיק כמו רבי צדוק לא הקפיד לברך כראוי? ודאי שלא! אז מה פשר התנהגותו? נלמד את התלמידים בחכמים נחלקו מהו שיעור האכילה שאחריו חייבים לברך ברכת המזון, יש שסברו שאחרי אכילת כזית (=פרוסת לחם אחת של ימינו) ויש שסברו שרק אחרי אכילת</w:t>
      </w:r>
      <w:r w:rsidR="004F2DDF">
        <w:rPr>
          <w:rFonts w:hint="cs"/>
          <w:rtl/>
        </w:rPr>
        <w:t xml:space="preserve"> כביצה</w:t>
      </w:r>
      <w:r>
        <w:rPr>
          <w:rFonts w:hint="cs"/>
          <w:rtl/>
        </w:rPr>
        <w:t xml:space="preserve"> </w:t>
      </w:r>
      <w:r w:rsidR="004F2DDF">
        <w:rPr>
          <w:rFonts w:hint="cs"/>
          <w:rtl/>
        </w:rPr>
        <w:t>(=</w:t>
      </w:r>
      <w:r>
        <w:rPr>
          <w:rFonts w:hint="cs"/>
          <w:rtl/>
        </w:rPr>
        <w:t>שתי פרוסות</w:t>
      </w:r>
      <w:r w:rsidR="004F2DDF">
        <w:rPr>
          <w:rFonts w:hint="cs"/>
          <w:rtl/>
        </w:rPr>
        <w:t xml:space="preserve">), כמובן, רבי צדוק היה בדעה השנייה. </w:t>
      </w:r>
      <w:r w:rsidR="004F2DDF" w:rsidRPr="004F2DDF">
        <w:rPr>
          <w:rFonts w:hint="cs"/>
          <w:b/>
          <w:bCs/>
          <w:rtl/>
        </w:rPr>
        <w:t>נדגיש היטב שההלכה נקבעה, אחרי ימיו של רבי צדוק, לפי הדעה שמברכים ברכת המזון אחרי אכילת כזית!</w:t>
      </w:r>
    </w:p>
    <w:p w:rsidR="00CD260D" w:rsidRPr="00591C83" w:rsidRDefault="00CD260D" w:rsidP="00EC3AE4">
      <w:pPr>
        <w:spacing w:before="120" w:after="120" w:line="24" w:lineRule="atLeast"/>
        <w:rPr>
          <w:rtl/>
        </w:rPr>
      </w:pPr>
    </w:p>
    <w:p w:rsidR="001D03C0" w:rsidRPr="00A26E75" w:rsidRDefault="001B50C7" w:rsidP="00EC3AE4">
      <w:pPr>
        <w:spacing w:before="120" w:after="120" w:line="24" w:lineRule="atLeast"/>
        <w:rPr>
          <w:rtl/>
        </w:rPr>
      </w:pPr>
      <w:r w:rsidRPr="00A26E75">
        <w:rPr>
          <w:highlight w:val="green"/>
          <w:rtl/>
        </w:rPr>
        <w:t>משמעות</w:t>
      </w:r>
    </w:p>
    <w:p w:rsidR="00591C83" w:rsidRDefault="00591C83" w:rsidP="00EC3AE4">
      <w:pPr>
        <w:spacing w:before="120" w:after="120" w:line="24" w:lineRule="atLeast"/>
        <w:rPr>
          <w:rtl/>
        </w:rPr>
      </w:pPr>
      <w:r w:rsidRPr="00591C83">
        <w:rPr>
          <w:rFonts w:hint="cs"/>
          <w:rtl/>
        </w:rPr>
        <w:t>רבן יוחנן בן זכאי ורבן גמליאל החמירו על עצמם</w:t>
      </w:r>
      <w:r>
        <w:rPr>
          <w:rFonts w:hint="cs"/>
          <w:rtl/>
        </w:rPr>
        <w:t>, כלומר מתוך רצון להדר במצווה לא אכלו בסוכה אפילו שהדבר מותר</w:t>
      </w:r>
      <w:r w:rsidRPr="00591C83">
        <w:rPr>
          <w:rFonts w:hint="cs"/>
          <w:rtl/>
        </w:rPr>
        <w:t xml:space="preserve">. </w:t>
      </w:r>
    </w:p>
    <w:p w:rsidR="00591C83" w:rsidRPr="00591C83" w:rsidRDefault="00591C83" w:rsidP="00EC3AE4">
      <w:pPr>
        <w:spacing w:before="120" w:after="120" w:line="24" w:lineRule="atLeast"/>
        <w:rPr>
          <w:rtl/>
        </w:rPr>
      </w:pPr>
      <w:r w:rsidRPr="00591C83">
        <w:rPr>
          <w:rFonts w:hint="cs"/>
          <w:rtl/>
        </w:rPr>
        <w:t>נתבונן בערך של להדר במצוות ולהחמיר על עצמנו אפילו יותר ממה שנתבקשנו. בחוברת הובאה דוגמא ל'החמרה' במצוות כיבוד הורים. כיצד נוכל להחמיר על עצמנו בקיום מצוות?</w:t>
      </w:r>
    </w:p>
    <w:p w:rsidR="000B5CD3" w:rsidRDefault="000B5CD3" w:rsidP="00EC3AE4">
      <w:pPr>
        <w:spacing w:before="120" w:after="120" w:line="24" w:lineRule="atLeast"/>
        <w:rPr>
          <w:rtl/>
        </w:rPr>
      </w:pPr>
      <w:r w:rsidRPr="00A26E75">
        <w:rPr>
          <w:highlight w:val="yellow"/>
          <w:rtl/>
        </w:rPr>
        <w:t>מושגי תוכן</w:t>
      </w:r>
    </w:p>
    <w:p w:rsidR="00591C83" w:rsidRPr="00591C83" w:rsidRDefault="00591C83" w:rsidP="00EC3AE4">
      <w:pPr>
        <w:spacing w:before="120" w:after="120" w:line="24" w:lineRule="atLeast"/>
        <w:rPr>
          <w:b/>
          <w:bCs/>
          <w:rtl/>
        </w:rPr>
      </w:pPr>
      <w:r w:rsidRPr="00591C83">
        <w:rPr>
          <w:rFonts w:hint="cs"/>
          <w:b/>
          <w:bCs/>
          <w:rtl/>
        </w:rPr>
        <w:t>כביצה</w:t>
      </w:r>
    </w:p>
    <w:p w:rsidR="00591C83" w:rsidRPr="00D24C2D" w:rsidRDefault="00591C83" w:rsidP="00EC3AE4">
      <w:pPr>
        <w:spacing w:before="120" w:after="120" w:line="24" w:lineRule="atLeast"/>
        <w:rPr>
          <w:rtl/>
        </w:rPr>
      </w:pPr>
      <w:r w:rsidRPr="00D24C2D">
        <w:rPr>
          <w:rFonts w:hint="cs"/>
          <w:rtl/>
        </w:rPr>
        <w:t xml:space="preserve">כמות </w:t>
      </w:r>
      <w:r>
        <w:rPr>
          <w:rFonts w:hint="cs"/>
          <w:rtl/>
        </w:rPr>
        <w:t>אוכל ש</w:t>
      </w:r>
      <w:r w:rsidRPr="00D24C2D">
        <w:rPr>
          <w:rFonts w:hint="cs"/>
          <w:rtl/>
        </w:rPr>
        <w:t>מוזכרת רבות במשנה ובהלכה</w:t>
      </w:r>
      <w:r>
        <w:rPr>
          <w:rFonts w:hint="cs"/>
          <w:rtl/>
        </w:rPr>
        <w:t xml:space="preserve"> ו</w:t>
      </w:r>
      <w:r w:rsidRPr="00D24C2D">
        <w:rPr>
          <w:rFonts w:hint="cs"/>
          <w:rtl/>
        </w:rPr>
        <w:t xml:space="preserve">שווה לשתי פרוסות לחם של ימינו. </w:t>
      </w:r>
    </w:p>
    <w:p w:rsidR="00591C83" w:rsidRPr="00591C83" w:rsidRDefault="00591C83" w:rsidP="00EC3AE4">
      <w:pPr>
        <w:spacing w:before="120" w:after="120" w:line="24" w:lineRule="atLeast"/>
        <w:rPr>
          <w:b/>
          <w:bCs/>
          <w:rtl/>
        </w:rPr>
      </w:pPr>
      <w:r w:rsidRPr="00591C83">
        <w:rPr>
          <w:rFonts w:hint="cs"/>
          <w:b/>
          <w:bCs/>
          <w:rtl/>
        </w:rPr>
        <w:t>נטלו במפה</w:t>
      </w:r>
    </w:p>
    <w:p w:rsidR="00591C83" w:rsidRPr="00482055" w:rsidRDefault="00591C83" w:rsidP="00EC3AE4">
      <w:pPr>
        <w:spacing w:before="120" w:after="120" w:line="24" w:lineRule="atLeast"/>
        <w:rPr>
          <w:rFonts w:ascii="Arial" w:hAnsi="Arial"/>
          <w:rtl/>
        </w:rPr>
      </w:pPr>
      <w:r w:rsidRPr="00D24C2D">
        <w:rPr>
          <w:rFonts w:hint="cs"/>
          <w:rtl/>
        </w:rPr>
        <w:t xml:space="preserve">אדם </w:t>
      </w:r>
      <w:r>
        <w:rPr>
          <w:rFonts w:hint="cs"/>
          <w:rtl/>
        </w:rPr>
        <w:t>ש</w:t>
      </w:r>
      <w:r w:rsidRPr="00D24C2D">
        <w:rPr>
          <w:rFonts w:hint="cs"/>
          <w:rtl/>
        </w:rPr>
        <w:t>אוכל לחם ואינו נוגע בו אלא מחזיק אותו באמצעות מפה אינו חייב בנטילת ידיים  (למעשה נוהגים כך רק אם לא ניתן להשיג מים במרחק סביר).</w:t>
      </w:r>
    </w:p>
    <w:p w:rsidR="00591C83" w:rsidRPr="00591C83" w:rsidRDefault="00591C83" w:rsidP="00EC3AE4">
      <w:pPr>
        <w:spacing w:before="120" w:after="120" w:line="24" w:lineRule="atLeast"/>
        <w:rPr>
          <w:b/>
          <w:bCs/>
          <w:rtl/>
        </w:rPr>
      </w:pPr>
      <w:r w:rsidRPr="00591C83">
        <w:rPr>
          <w:rFonts w:hint="cs"/>
          <w:b/>
          <w:bCs/>
          <w:rtl/>
        </w:rPr>
        <w:t>שיעור האכילה שמברכים אחריו ברכת המזון</w:t>
      </w:r>
    </w:p>
    <w:p w:rsidR="00591C83" w:rsidRPr="00591C83" w:rsidRDefault="00591C83" w:rsidP="00EC3AE4">
      <w:pPr>
        <w:spacing w:before="120" w:after="120" w:line="24" w:lineRule="atLeast"/>
        <w:rPr>
          <w:rtl/>
        </w:rPr>
      </w:pPr>
      <w:r w:rsidRPr="00591C83">
        <w:rPr>
          <w:rFonts w:hint="cs"/>
          <w:rtl/>
        </w:rPr>
        <w:t>לדעת חלק מהתנאים מי שאכל כזית (=פרוסת לחם אחת) מברך ברכת המזון, ואִילו לדעת תנאים אחרים</w:t>
      </w:r>
      <w:r>
        <w:rPr>
          <w:rFonts w:hint="cs"/>
          <w:rtl/>
        </w:rPr>
        <w:t>, וביניהם רבי צדוק,</w:t>
      </w:r>
      <w:r w:rsidRPr="00591C83">
        <w:rPr>
          <w:rFonts w:hint="cs"/>
          <w:rtl/>
        </w:rPr>
        <w:t xml:space="preserve"> רק מי שאכל כביצה (=שתי פרוסות לחם) מברך ברכת המזון. לאחר ימיו של רבי צדוק נקבעה ההלכה לפי הדעה שמי שאכל כזית מברך ברכת המזון.</w:t>
      </w:r>
    </w:p>
    <w:p w:rsidR="00452F3C" w:rsidRPr="00A26E75" w:rsidRDefault="00452F3C" w:rsidP="00DA240E">
      <w:pPr>
        <w:bidi w:val="0"/>
        <w:spacing w:before="120" w:after="120" w:line="24" w:lineRule="atLeast"/>
        <w:rPr>
          <w:rtl/>
        </w:rPr>
      </w:pPr>
    </w:p>
    <w:sectPr w:rsidR="00452F3C" w:rsidRPr="00A26E75"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0000000000000000000"/>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D88"/>
    <w:multiLevelType w:val="hybridMultilevel"/>
    <w:tmpl w:val="E8FEDD4C"/>
    <w:lvl w:ilvl="0" w:tplc="3308371C">
      <w:start w:val="1"/>
      <w:numFmt w:val="hebrew1"/>
      <w:lvlText w:val="%1."/>
      <w:lvlJc w:val="left"/>
      <w:pPr>
        <w:ind w:left="360" w:hanging="360"/>
      </w:pPr>
      <w:rPr>
        <w:rFonts w:ascii="Arial" w:eastAsiaTheme="minorHAnsi"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E1FF7"/>
    <w:multiLevelType w:val="hybridMultilevel"/>
    <w:tmpl w:val="0702356E"/>
    <w:lvl w:ilvl="0" w:tplc="3EAEE6A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E3913"/>
    <w:multiLevelType w:val="hybridMultilevel"/>
    <w:tmpl w:val="1930C6E2"/>
    <w:lvl w:ilvl="0" w:tplc="D5D87A7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51CB2"/>
    <w:multiLevelType w:val="hybridMultilevel"/>
    <w:tmpl w:val="2D54650C"/>
    <w:lvl w:ilvl="0" w:tplc="845AF7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05691"/>
    <w:multiLevelType w:val="hybridMultilevel"/>
    <w:tmpl w:val="D9D8D256"/>
    <w:lvl w:ilvl="0" w:tplc="6EDEDC7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9730C9"/>
    <w:multiLevelType w:val="hybridMultilevel"/>
    <w:tmpl w:val="9D08C55E"/>
    <w:lvl w:ilvl="0" w:tplc="635C385C">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1"/>
  </w:num>
  <w:num w:numId="5">
    <w:abstractNumId w:val="5"/>
  </w:num>
  <w:num w:numId="6">
    <w:abstractNumId w:val="15"/>
  </w:num>
  <w:num w:numId="7">
    <w:abstractNumId w:val="13"/>
  </w:num>
  <w:num w:numId="8">
    <w:abstractNumId w:val="6"/>
  </w:num>
  <w:num w:numId="9">
    <w:abstractNumId w:val="9"/>
  </w:num>
  <w:num w:numId="10">
    <w:abstractNumId w:val="12"/>
  </w:num>
  <w:num w:numId="11">
    <w:abstractNumId w:val="4"/>
  </w:num>
  <w:num w:numId="12">
    <w:abstractNumId w:val="3"/>
  </w:num>
  <w:num w:numId="13">
    <w:abstractNumId w:val="7"/>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422AA0"/>
    <w:rsid w:val="000B045B"/>
    <w:rsid w:val="000B5CD3"/>
    <w:rsid w:val="000C561B"/>
    <w:rsid w:val="000F3BF3"/>
    <w:rsid w:val="001269DD"/>
    <w:rsid w:val="0019654E"/>
    <w:rsid w:val="001B50C7"/>
    <w:rsid w:val="001D03C0"/>
    <w:rsid w:val="00271226"/>
    <w:rsid w:val="00312906"/>
    <w:rsid w:val="003F4355"/>
    <w:rsid w:val="00422AA0"/>
    <w:rsid w:val="00452F3C"/>
    <w:rsid w:val="004F2DDF"/>
    <w:rsid w:val="0051555E"/>
    <w:rsid w:val="00556AF9"/>
    <w:rsid w:val="00591C83"/>
    <w:rsid w:val="007C1AF3"/>
    <w:rsid w:val="008505C7"/>
    <w:rsid w:val="008644CA"/>
    <w:rsid w:val="009269E0"/>
    <w:rsid w:val="00995B68"/>
    <w:rsid w:val="00A23042"/>
    <w:rsid w:val="00A26E75"/>
    <w:rsid w:val="00AA35DA"/>
    <w:rsid w:val="00AC3E63"/>
    <w:rsid w:val="00B53636"/>
    <w:rsid w:val="00BC67BF"/>
    <w:rsid w:val="00C14600"/>
    <w:rsid w:val="00C313C5"/>
    <w:rsid w:val="00C32100"/>
    <w:rsid w:val="00C913B2"/>
    <w:rsid w:val="00CD260D"/>
    <w:rsid w:val="00D352D9"/>
    <w:rsid w:val="00DA240E"/>
    <w:rsid w:val="00E762AD"/>
    <w:rsid w:val="00E8086C"/>
    <w:rsid w:val="00EC3AE4"/>
    <w:rsid w:val="00F617D4"/>
    <w:rsid w:val="00F85B9E"/>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ad">
    <w:name w:val="Table Grid"/>
    <w:basedOn w:val="a1"/>
    <w:uiPriority w:val="59"/>
    <w:rsid w:val="004F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2</Pages>
  <Words>580</Words>
  <Characters>2904</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5</cp:revision>
  <dcterms:created xsi:type="dcterms:W3CDTF">2016-06-21T08:24:00Z</dcterms:created>
  <dcterms:modified xsi:type="dcterms:W3CDTF">2016-12-12T17:33:00Z</dcterms:modified>
</cp:coreProperties>
</file>