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44" w:rsidRPr="00D60144" w:rsidRDefault="00D60144" w:rsidP="00D60144">
      <w:pPr>
        <w:jc w:val="center"/>
        <w:rPr>
          <w:rFonts w:hint="cs"/>
          <w:b/>
          <w:bCs/>
          <w:sz w:val="28"/>
          <w:szCs w:val="28"/>
          <w:rtl/>
        </w:rPr>
      </w:pPr>
      <w:r w:rsidRPr="00D60144">
        <w:rPr>
          <w:rFonts w:hint="cs"/>
          <w:b/>
          <w:bCs/>
          <w:sz w:val="28"/>
          <w:szCs w:val="28"/>
          <w:rtl/>
        </w:rPr>
        <w:t>פריסה שנתית ללימודי משנה לשנת תשע"ו</w:t>
      </w:r>
    </w:p>
    <w:p w:rsidR="00D60144" w:rsidRDefault="00D60144" w:rsidP="00D60144">
      <w:pPr>
        <w:rPr>
          <w:rFonts w:hint="cs"/>
          <w:rtl/>
        </w:rPr>
      </w:pPr>
      <w:r>
        <w:rPr>
          <w:rFonts w:hint="cs"/>
          <w:rtl/>
        </w:rPr>
        <w:t>תוכנית הלימודים במשנה לכיתה ו כוללת שתי מסכתות: פסחים ובבא קמא.</w:t>
      </w:r>
    </w:p>
    <w:p w:rsidR="00D60144" w:rsidRDefault="00D60144" w:rsidP="00890235">
      <w:pPr>
        <w:rPr>
          <w:rFonts w:hint="cs"/>
          <w:rtl/>
        </w:rPr>
      </w:pPr>
      <w:r>
        <w:rPr>
          <w:rFonts w:hint="cs"/>
          <w:rtl/>
        </w:rPr>
        <w:t>המבחן הארצי שמתקיים בסוף מחצית ראשונה בוחן ידע ומיומנות ב</w:t>
      </w:r>
      <w:r w:rsidRPr="00693555">
        <w:rPr>
          <w:rFonts w:hint="cs"/>
          <w:b/>
          <w:bCs/>
          <w:rtl/>
        </w:rPr>
        <w:t>חלק</w:t>
      </w:r>
      <w:r>
        <w:rPr>
          <w:rFonts w:hint="cs"/>
          <w:rtl/>
        </w:rPr>
        <w:t xml:space="preserve"> מן הפרקים </w:t>
      </w:r>
      <w:r w:rsidRPr="00693555">
        <w:rPr>
          <w:rFonts w:hint="cs"/>
          <w:b/>
          <w:bCs/>
          <w:rtl/>
        </w:rPr>
        <w:t>בשתי</w:t>
      </w:r>
      <w:r>
        <w:rPr>
          <w:rFonts w:hint="cs"/>
          <w:rtl/>
        </w:rPr>
        <w:t xml:space="preserve"> המסכתות</w:t>
      </w:r>
      <w:r w:rsidR="00693555">
        <w:rPr>
          <w:rFonts w:hint="cs"/>
          <w:rtl/>
        </w:rPr>
        <w:t>, דבר שמאלץ לא ללמד את המסכתות לפי הסדר שלהן</w:t>
      </w:r>
      <w:r>
        <w:rPr>
          <w:rFonts w:hint="cs"/>
          <w:rtl/>
        </w:rPr>
        <w:t xml:space="preserve">. </w:t>
      </w:r>
      <w:r w:rsidR="00693555">
        <w:rPr>
          <w:rtl/>
        </w:rPr>
        <w:br/>
      </w:r>
      <w:r>
        <w:rPr>
          <w:rFonts w:hint="cs"/>
          <w:rtl/>
        </w:rPr>
        <w:t xml:space="preserve">כדי להימנע ממעברים חוזרים בין המסכתות, וכדי ללמוד לפני פסח את מסכת פסחים מומלץ להתחיל מן החומר למבחן ממסכת </w:t>
      </w:r>
      <w:proofErr w:type="spellStart"/>
      <w:r>
        <w:rPr>
          <w:rFonts w:hint="cs"/>
          <w:rtl/>
        </w:rPr>
        <w:t>ב"ק</w:t>
      </w:r>
      <w:proofErr w:type="spellEnd"/>
      <w:r>
        <w:rPr>
          <w:rFonts w:hint="cs"/>
          <w:rtl/>
        </w:rPr>
        <w:t xml:space="preserve">, לאחר </w:t>
      </w:r>
      <w:r w:rsidR="00890235">
        <w:rPr>
          <w:rFonts w:hint="cs"/>
          <w:rtl/>
        </w:rPr>
        <w:t>חנוכה</w:t>
      </w:r>
      <w:r>
        <w:rPr>
          <w:rFonts w:hint="cs"/>
          <w:rtl/>
        </w:rPr>
        <w:t xml:space="preserve"> לעבור למסכת פסחים </w:t>
      </w:r>
      <w:r>
        <w:rPr>
          <w:rtl/>
        </w:rPr>
        <w:t>–</w:t>
      </w:r>
      <w:r>
        <w:rPr>
          <w:rFonts w:hint="cs"/>
          <w:rtl/>
        </w:rPr>
        <w:t xml:space="preserve"> ראשית ללמוד את הפרקים למבחן ואחר כך את השאר, </w:t>
      </w:r>
      <w:r w:rsidR="00890235">
        <w:rPr>
          <w:rFonts w:hint="cs"/>
          <w:rtl/>
        </w:rPr>
        <w:t>ולאחר פסח</w:t>
      </w:r>
      <w:r>
        <w:rPr>
          <w:rFonts w:hint="cs"/>
          <w:rtl/>
        </w:rPr>
        <w:t xml:space="preserve"> לחזור למסכת </w:t>
      </w:r>
      <w:proofErr w:type="spellStart"/>
      <w:r>
        <w:rPr>
          <w:rFonts w:hint="cs"/>
          <w:rtl/>
        </w:rPr>
        <w:t>ב"ק</w:t>
      </w:r>
      <w:proofErr w:type="spellEnd"/>
      <w:r>
        <w:rPr>
          <w:rFonts w:hint="cs"/>
          <w:rtl/>
        </w:rPr>
        <w:t>.</w:t>
      </w:r>
    </w:p>
    <w:p w:rsidR="00D60144" w:rsidRDefault="00D60144" w:rsidP="00D60144">
      <w:r>
        <w:rPr>
          <w:rFonts w:hint="cs"/>
          <w:rtl/>
        </w:rPr>
        <w:t>יתרון נוסף בהתחלת הלימוד במסכת בבא קמא הוא שזו הפעם הראשונה שהתלמידים לומדים משנה מסדר נזיקין, יש בה עניין מיוחד וגם מסר חינוכי משמעותי. המשנה הראשונה במסכת בבא קמא אינה כלולה בחומר למבחן הארצי, בכל זאת הקדמנו את הלימוד שלה כיוון שלא כדאי להיכנס ללמוד מסכת בבא קמא לפני ההקדמה וההבנה של ארבעה אבות נזיקין.</w:t>
      </w:r>
    </w:p>
    <w:tbl>
      <w:tblPr>
        <w:tblStyle w:val="a3"/>
        <w:bidiVisual/>
        <w:tblW w:w="0" w:type="auto"/>
        <w:tblLook w:val="04A0"/>
      </w:tblPr>
      <w:tblGrid>
        <w:gridCol w:w="2140"/>
        <w:gridCol w:w="2221"/>
        <w:gridCol w:w="2168"/>
        <w:gridCol w:w="1993"/>
      </w:tblGrid>
      <w:tr w:rsidR="00D60144" w:rsidTr="00D60144">
        <w:tc>
          <w:tcPr>
            <w:tcW w:w="2140" w:type="dxa"/>
            <w:shd w:val="clear" w:color="auto" w:fill="E5B8B7" w:themeFill="accent2" w:themeFillTint="66"/>
          </w:tcPr>
          <w:p w:rsidR="00D60144" w:rsidRDefault="00D60144">
            <w:pPr>
              <w:rPr>
                <w:rtl/>
              </w:rPr>
            </w:pPr>
            <w:r>
              <w:rPr>
                <w:rFonts w:hint="cs"/>
                <w:rtl/>
              </w:rPr>
              <w:t>חודש</w:t>
            </w:r>
          </w:p>
        </w:tc>
        <w:tc>
          <w:tcPr>
            <w:tcW w:w="2221" w:type="dxa"/>
            <w:shd w:val="clear" w:color="auto" w:fill="E5B8B7" w:themeFill="accent2" w:themeFillTint="66"/>
          </w:tcPr>
          <w:p w:rsidR="00D60144" w:rsidRDefault="00D60144">
            <w:pPr>
              <w:rPr>
                <w:rtl/>
              </w:rPr>
            </w:pPr>
            <w:r>
              <w:rPr>
                <w:rFonts w:hint="cs"/>
                <w:rtl/>
              </w:rPr>
              <w:t>משניות</w:t>
            </w:r>
          </w:p>
        </w:tc>
        <w:tc>
          <w:tcPr>
            <w:tcW w:w="2168" w:type="dxa"/>
            <w:shd w:val="clear" w:color="auto" w:fill="E5B8B7" w:themeFill="accent2" w:themeFillTint="66"/>
          </w:tcPr>
          <w:p w:rsidR="00D60144" w:rsidRDefault="00D60144">
            <w:pPr>
              <w:rPr>
                <w:rtl/>
              </w:rPr>
            </w:pPr>
            <w:r>
              <w:rPr>
                <w:rFonts w:hint="cs"/>
                <w:rtl/>
              </w:rPr>
              <w:t>יחידות</w:t>
            </w:r>
            <w:r w:rsidR="004E4D69">
              <w:rPr>
                <w:rFonts w:hint="cs"/>
                <w:rtl/>
              </w:rPr>
              <w:t xml:space="preserve"> לפי חוברת משניות בהירות</w:t>
            </w:r>
          </w:p>
        </w:tc>
        <w:tc>
          <w:tcPr>
            <w:tcW w:w="1993" w:type="dxa"/>
            <w:shd w:val="clear" w:color="auto" w:fill="E5B8B7" w:themeFill="accent2" w:themeFillTint="66"/>
          </w:tcPr>
          <w:p w:rsidR="00D60144" w:rsidRDefault="00D60144">
            <w:pPr>
              <w:rPr>
                <w:rFonts w:hint="cs"/>
                <w:rtl/>
              </w:rPr>
            </w:pPr>
            <w:r>
              <w:rPr>
                <w:rFonts w:hint="cs"/>
                <w:rtl/>
              </w:rPr>
              <w:t>הערות</w:t>
            </w:r>
          </w:p>
        </w:tc>
      </w:tr>
      <w:tr w:rsidR="00D60144" w:rsidTr="00D60144">
        <w:tc>
          <w:tcPr>
            <w:tcW w:w="2140" w:type="dxa"/>
          </w:tcPr>
          <w:p w:rsidR="00D60144" w:rsidRDefault="00D60144">
            <w:pPr>
              <w:rPr>
                <w:rtl/>
              </w:rPr>
            </w:pPr>
            <w:r>
              <w:rPr>
                <w:rFonts w:hint="cs"/>
                <w:rtl/>
              </w:rPr>
              <w:t>אלול-תשרי</w:t>
            </w:r>
          </w:p>
        </w:tc>
        <w:tc>
          <w:tcPr>
            <w:tcW w:w="2221" w:type="dxa"/>
          </w:tcPr>
          <w:p w:rsidR="00D60144" w:rsidRDefault="00D60144" w:rsidP="00EF37C1">
            <w:pPr>
              <w:rPr>
                <w:rtl/>
              </w:rPr>
            </w:pPr>
            <w:proofErr w:type="spellStart"/>
            <w:r>
              <w:rPr>
                <w:rFonts w:hint="cs"/>
                <w:rtl/>
              </w:rPr>
              <w:t>ב"ק</w:t>
            </w:r>
            <w:proofErr w:type="spellEnd"/>
            <w:r>
              <w:rPr>
                <w:rFonts w:hint="cs"/>
                <w:rtl/>
              </w:rPr>
              <w:t xml:space="preserve"> פרק א,א </w:t>
            </w:r>
          </w:p>
        </w:tc>
        <w:tc>
          <w:tcPr>
            <w:tcW w:w="2168" w:type="dxa"/>
          </w:tcPr>
          <w:p w:rsidR="00D60144" w:rsidRDefault="00D60144" w:rsidP="00152B0C">
            <w:pPr>
              <w:rPr>
                <w:rtl/>
              </w:rPr>
            </w:pPr>
            <w:r>
              <w:rPr>
                <w:rFonts w:hint="cs"/>
                <w:rtl/>
              </w:rPr>
              <w:t xml:space="preserve">יחידות </w:t>
            </w:r>
            <w:r w:rsidR="00152B0C">
              <w:rPr>
                <w:rFonts w:hint="cs"/>
                <w:rtl/>
              </w:rPr>
              <w:t>24-25</w:t>
            </w:r>
          </w:p>
        </w:tc>
        <w:tc>
          <w:tcPr>
            <w:tcW w:w="1993" w:type="dxa"/>
          </w:tcPr>
          <w:p w:rsidR="00D60144" w:rsidRDefault="00D60144">
            <w:pPr>
              <w:rPr>
                <w:rFonts w:hint="cs"/>
                <w:rtl/>
              </w:rPr>
            </w:pPr>
            <w:r w:rsidRPr="00D60144">
              <w:rPr>
                <w:rFonts w:hint="cs"/>
                <w:sz w:val="18"/>
                <w:szCs w:val="18"/>
                <w:rtl/>
              </w:rPr>
              <w:t>יכול להתחבר לנושא התשובה, כיוון שזו הפתיחה למסכת נזיקין שעוסקת בדיני בין אדם לחברו</w:t>
            </w:r>
          </w:p>
        </w:tc>
      </w:tr>
      <w:tr w:rsidR="00D60144" w:rsidTr="00D60144">
        <w:tc>
          <w:tcPr>
            <w:tcW w:w="2140" w:type="dxa"/>
          </w:tcPr>
          <w:p w:rsidR="00D60144" w:rsidRDefault="00D60144">
            <w:pPr>
              <w:rPr>
                <w:rtl/>
              </w:rPr>
            </w:pPr>
            <w:proofErr w:type="spellStart"/>
            <w:r>
              <w:rPr>
                <w:rFonts w:hint="cs"/>
                <w:rtl/>
              </w:rPr>
              <w:t>חשון</w:t>
            </w:r>
            <w:proofErr w:type="spellEnd"/>
          </w:p>
        </w:tc>
        <w:tc>
          <w:tcPr>
            <w:tcW w:w="2221" w:type="dxa"/>
          </w:tcPr>
          <w:p w:rsidR="00D60144" w:rsidRDefault="00D60144" w:rsidP="00EF37C1">
            <w:pPr>
              <w:rPr>
                <w:rtl/>
              </w:rPr>
            </w:pPr>
            <w:proofErr w:type="spellStart"/>
            <w:r>
              <w:rPr>
                <w:rFonts w:hint="cs"/>
                <w:rtl/>
              </w:rPr>
              <w:t>ב"ק</w:t>
            </w:r>
            <w:proofErr w:type="spellEnd"/>
            <w:r>
              <w:rPr>
                <w:rFonts w:hint="cs"/>
                <w:rtl/>
              </w:rPr>
              <w:t xml:space="preserve"> פרק ג </w:t>
            </w:r>
            <w:r w:rsidR="00EF37C1">
              <w:rPr>
                <w:rFonts w:hint="cs"/>
                <w:rtl/>
              </w:rPr>
              <w:t>א</w:t>
            </w:r>
            <w:r>
              <w:rPr>
                <w:rFonts w:hint="cs"/>
                <w:rtl/>
              </w:rPr>
              <w:t xml:space="preserve">-ד </w:t>
            </w:r>
          </w:p>
        </w:tc>
        <w:tc>
          <w:tcPr>
            <w:tcW w:w="2168" w:type="dxa"/>
          </w:tcPr>
          <w:p w:rsidR="00D60144" w:rsidRDefault="00152B0C">
            <w:pPr>
              <w:rPr>
                <w:rtl/>
              </w:rPr>
            </w:pPr>
            <w:r>
              <w:rPr>
                <w:rFonts w:hint="cs"/>
                <w:rtl/>
              </w:rPr>
              <w:t>יחידות 26-29</w:t>
            </w:r>
          </w:p>
        </w:tc>
        <w:tc>
          <w:tcPr>
            <w:tcW w:w="1993" w:type="dxa"/>
          </w:tcPr>
          <w:p w:rsidR="00D60144" w:rsidRDefault="00D60144">
            <w:pPr>
              <w:rPr>
                <w:rFonts w:hint="cs"/>
                <w:rtl/>
              </w:rPr>
            </w:pPr>
          </w:p>
        </w:tc>
      </w:tr>
      <w:tr w:rsidR="00D60144" w:rsidTr="00D60144">
        <w:tc>
          <w:tcPr>
            <w:tcW w:w="2140" w:type="dxa"/>
          </w:tcPr>
          <w:p w:rsidR="00D60144" w:rsidRDefault="00D60144">
            <w:pPr>
              <w:rPr>
                <w:rtl/>
              </w:rPr>
            </w:pPr>
            <w:r>
              <w:rPr>
                <w:rFonts w:hint="cs"/>
                <w:rtl/>
              </w:rPr>
              <w:t>כסלו</w:t>
            </w:r>
          </w:p>
        </w:tc>
        <w:tc>
          <w:tcPr>
            <w:tcW w:w="2221" w:type="dxa"/>
          </w:tcPr>
          <w:p w:rsidR="00D60144" w:rsidRDefault="00EF37C1" w:rsidP="00EF37C1">
            <w:pPr>
              <w:rPr>
                <w:rtl/>
              </w:rPr>
            </w:pPr>
            <w:r>
              <w:rPr>
                <w:rFonts w:hint="cs"/>
                <w:rtl/>
              </w:rPr>
              <w:t xml:space="preserve">פרק ח, א,ו-ז </w:t>
            </w:r>
          </w:p>
        </w:tc>
        <w:tc>
          <w:tcPr>
            <w:tcW w:w="2168" w:type="dxa"/>
          </w:tcPr>
          <w:p w:rsidR="00D60144" w:rsidRDefault="00D60144" w:rsidP="00152B0C">
            <w:pPr>
              <w:rPr>
                <w:rtl/>
              </w:rPr>
            </w:pPr>
            <w:r>
              <w:rPr>
                <w:rFonts w:hint="cs"/>
                <w:rtl/>
              </w:rPr>
              <w:t xml:space="preserve">יחידות </w:t>
            </w:r>
            <w:r w:rsidR="00152B0C">
              <w:rPr>
                <w:rFonts w:hint="cs"/>
                <w:rtl/>
              </w:rPr>
              <w:t>35-37</w:t>
            </w:r>
          </w:p>
        </w:tc>
        <w:tc>
          <w:tcPr>
            <w:tcW w:w="1993" w:type="dxa"/>
          </w:tcPr>
          <w:p w:rsidR="00D60144" w:rsidRDefault="00D60144">
            <w:pPr>
              <w:rPr>
                <w:rFonts w:hint="cs"/>
                <w:rtl/>
              </w:rPr>
            </w:pPr>
          </w:p>
        </w:tc>
      </w:tr>
      <w:tr w:rsidR="00D60144" w:rsidTr="00D60144">
        <w:tc>
          <w:tcPr>
            <w:tcW w:w="2140" w:type="dxa"/>
          </w:tcPr>
          <w:p w:rsidR="00D60144" w:rsidRDefault="00D60144">
            <w:pPr>
              <w:rPr>
                <w:rtl/>
              </w:rPr>
            </w:pPr>
            <w:r>
              <w:rPr>
                <w:rFonts w:hint="cs"/>
                <w:rtl/>
              </w:rPr>
              <w:t>טבת</w:t>
            </w:r>
          </w:p>
        </w:tc>
        <w:tc>
          <w:tcPr>
            <w:tcW w:w="2221" w:type="dxa"/>
          </w:tcPr>
          <w:p w:rsidR="00D60144" w:rsidRDefault="00EF37C1" w:rsidP="00890235">
            <w:pPr>
              <w:rPr>
                <w:rtl/>
              </w:rPr>
            </w:pPr>
            <w:r>
              <w:rPr>
                <w:rFonts w:hint="cs"/>
                <w:rtl/>
              </w:rPr>
              <w:t xml:space="preserve">פסחים א,א-ד </w:t>
            </w:r>
            <w:r w:rsidR="00152B0C">
              <w:rPr>
                <w:rtl/>
              </w:rPr>
              <w:br/>
            </w:r>
            <w:r w:rsidR="00D60144">
              <w:rPr>
                <w:rFonts w:hint="cs"/>
                <w:rtl/>
              </w:rPr>
              <w:t>פרק י, א-</w:t>
            </w:r>
            <w:r w:rsidR="00890235">
              <w:rPr>
                <w:rFonts w:hint="cs"/>
                <w:rtl/>
              </w:rPr>
              <w:t>ב</w:t>
            </w:r>
          </w:p>
        </w:tc>
        <w:tc>
          <w:tcPr>
            <w:tcW w:w="2168" w:type="dxa"/>
          </w:tcPr>
          <w:p w:rsidR="00D60144" w:rsidRDefault="00152B0C">
            <w:pPr>
              <w:rPr>
                <w:rFonts w:hint="cs"/>
                <w:rtl/>
              </w:rPr>
            </w:pPr>
            <w:r>
              <w:rPr>
                <w:rFonts w:hint="cs"/>
                <w:rtl/>
              </w:rPr>
              <w:t>יחידות 1-5</w:t>
            </w:r>
          </w:p>
          <w:p w:rsidR="00152B0C" w:rsidRDefault="00152B0C">
            <w:pPr>
              <w:rPr>
                <w:rtl/>
              </w:rPr>
            </w:pPr>
            <w:r>
              <w:rPr>
                <w:rFonts w:hint="cs"/>
                <w:rtl/>
              </w:rPr>
              <w:t>יחידות 16-18</w:t>
            </w:r>
          </w:p>
        </w:tc>
        <w:tc>
          <w:tcPr>
            <w:tcW w:w="1993" w:type="dxa"/>
          </w:tcPr>
          <w:p w:rsidR="00D60144" w:rsidRDefault="00D60144">
            <w:pPr>
              <w:rPr>
                <w:rFonts w:hint="cs"/>
                <w:rtl/>
              </w:rPr>
            </w:pPr>
          </w:p>
        </w:tc>
      </w:tr>
      <w:tr w:rsidR="00D60144" w:rsidTr="00D60144">
        <w:tc>
          <w:tcPr>
            <w:tcW w:w="2140" w:type="dxa"/>
          </w:tcPr>
          <w:p w:rsidR="00D60144" w:rsidRDefault="00D60144">
            <w:pPr>
              <w:rPr>
                <w:rtl/>
              </w:rPr>
            </w:pPr>
            <w:r>
              <w:rPr>
                <w:rFonts w:hint="cs"/>
                <w:rtl/>
              </w:rPr>
              <w:t>שבט</w:t>
            </w:r>
          </w:p>
        </w:tc>
        <w:tc>
          <w:tcPr>
            <w:tcW w:w="2221" w:type="dxa"/>
          </w:tcPr>
          <w:p w:rsidR="00890235" w:rsidRDefault="00890235">
            <w:pPr>
              <w:rPr>
                <w:rFonts w:hint="cs"/>
                <w:rtl/>
              </w:rPr>
            </w:pPr>
            <w:r>
              <w:rPr>
                <w:rFonts w:hint="cs"/>
                <w:rtl/>
              </w:rPr>
              <w:t>פסחים פרק י, ג-ז</w:t>
            </w:r>
          </w:p>
          <w:p w:rsidR="00D60144" w:rsidRDefault="00890235">
            <w:pPr>
              <w:rPr>
                <w:rtl/>
              </w:rPr>
            </w:pPr>
            <w:r>
              <w:rPr>
                <w:rFonts w:hint="cs"/>
                <w:rtl/>
              </w:rPr>
              <w:t>ו</w:t>
            </w:r>
            <w:r w:rsidR="00D60144">
              <w:rPr>
                <w:rFonts w:hint="cs"/>
                <w:rtl/>
              </w:rPr>
              <w:t>חזרה למבחן שיתקיים בכ"ג שבט</w:t>
            </w:r>
          </w:p>
        </w:tc>
        <w:tc>
          <w:tcPr>
            <w:tcW w:w="2168" w:type="dxa"/>
          </w:tcPr>
          <w:p w:rsidR="00D60144" w:rsidRDefault="001436DC">
            <w:pPr>
              <w:rPr>
                <w:rtl/>
              </w:rPr>
            </w:pPr>
            <w:r>
              <w:rPr>
                <w:rFonts w:hint="cs"/>
                <w:rtl/>
              </w:rPr>
              <w:t>יחידות 19-23</w:t>
            </w:r>
          </w:p>
        </w:tc>
        <w:tc>
          <w:tcPr>
            <w:tcW w:w="1993" w:type="dxa"/>
          </w:tcPr>
          <w:p w:rsidR="00D60144" w:rsidRPr="00152B0C" w:rsidRDefault="00152B0C">
            <w:pPr>
              <w:rPr>
                <w:sz w:val="18"/>
                <w:szCs w:val="18"/>
                <w:rtl/>
              </w:rPr>
            </w:pPr>
            <w:r>
              <w:rPr>
                <w:rFonts w:hint="cs"/>
                <w:sz w:val="18"/>
                <w:szCs w:val="18"/>
                <w:rtl/>
              </w:rPr>
              <w:t>המבחן בוחן בעיקר מיומנויות, ולכן אין צורך בשינון המשניות, אלא בהכרת המושגים והבנת המשניות והמבנה שלהן לפי רכיבי הכאמד"ט.</w:t>
            </w:r>
          </w:p>
        </w:tc>
      </w:tr>
      <w:tr w:rsidR="00D60144" w:rsidTr="00D60144">
        <w:tc>
          <w:tcPr>
            <w:tcW w:w="2140" w:type="dxa"/>
          </w:tcPr>
          <w:p w:rsidR="00D60144" w:rsidRDefault="00D60144">
            <w:pPr>
              <w:rPr>
                <w:rtl/>
              </w:rPr>
            </w:pPr>
            <w:r>
              <w:rPr>
                <w:rFonts w:hint="cs"/>
                <w:rtl/>
              </w:rPr>
              <w:t>אדר א'</w:t>
            </w:r>
          </w:p>
        </w:tc>
        <w:tc>
          <w:tcPr>
            <w:tcW w:w="2221" w:type="dxa"/>
          </w:tcPr>
          <w:p w:rsidR="00D60144" w:rsidRDefault="00D60144">
            <w:pPr>
              <w:rPr>
                <w:rtl/>
              </w:rPr>
            </w:pPr>
            <w:r>
              <w:rPr>
                <w:rFonts w:hint="cs"/>
                <w:rtl/>
              </w:rPr>
              <w:t>פסחים ב,א-ב פסחים ג,ו-ז פסחים ה', א-ב</w:t>
            </w:r>
          </w:p>
        </w:tc>
        <w:tc>
          <w:tcPr>
            <w:tcW w:w="2168" w:type="dxa"/>
          </w:tcPr>
          <w:p w:rsidR="00D60144" w:rsidRDefault="001436DC">
            <w:pPr>
              <w:rPr>
                <w:rtl/>
              </w:rPr>
            </w:pPr>
            <w:r>
              <w:rPr>
                <w:rFonts w:hint="cs"/>
                <w:rtl/>
              </w:rPr>
              <w:t>יחידות 6-12</w:t>
            </w:r>
          </w:p>
        </w:tc>
        <w:tc>
          <w:tcPr>
            <w:tcW w:w="1993" w:type="dxa"/>
          </w:tcPr>
          <w:p w:rsidR="00D60144" w:rsidRDefault="00D60144">
            <w:pPr>
              <w:rPr>
                <w:rtl/>
              </w:rPr>
            </w:pPr>
          </w:p>
        </w:tc>
      </w:tr>
      <w:tr w:rsidR="00D60144" w:rsidTr="00D60144">
        <w:tc>
          <w:tcPr>
            <w:tcW w:w="2140" w:type="dxa"/>
          </w:tcPr>
          <w:p w:rsidR="00D60144" w:rsidRDefault="00D60144">
            <w:pPr>
              <w:rPr>
                <w:rtl/>
              </w:rPr>
            </w:pPr>
            <w:r>
              <w:rPr>
                <w:rFonts w:hint="cs"/>
                <w:rtl/>
              </w:rPr>
              <w:t>אדר ב'-ניסן</w:t>
            </w:r>
          </w:p>
        </w:tc>
        <w:tc>
          <w:tcPr>
            <w:tcW w:w="2221" w:type="dxa"/>
          </w:tcPr>
          <w:p w:rsidR="00D60144" w:rsidRDefault="00D60144">
            <w:pPr>
              <w:rPr>
                <w:rtl/>
              </w:rPr>
            </w:pPr>
            <w:r>
              <w:rPr>
                <w:rFonts w:hint="cs"/>
                <w:rtl/>
              </w:rPr>
              <w:t>פסחים ה, ג-י</w:t>
            </w:r>
          </w:p>
        </w:tc>
        <w:tc>
          <w:tcPr>
            <w:tcW w:w="2168" w:type="dxa"/>
          </w:tcPr>
          <w:p w:rsidR="00D60144" w:rsidRDefault="001436DC">
            <w:pPr>
              <w:rPr>
                <w:rtl/>
              </w:rPr>
            </w:pPr>
            <w:r>
              <w:rPr>
                <w:rFonts w:hint="cs"/>
                <w:rtl/>
              </w:rPr>
              <w:t>יחידות 13-15</w:t>
            </w:r>
          </w:p>
        </w:tc>
        <w:tc>
          <w:tcPr>
            <w:tcW w:w="1993" w:type="dxa"/>
          </w:tcPr>
          <w:p w:rsidR="00D60144" w:rsidRDefault="00D60144">
            <w:pPr>
              <w:rPr>
                <w:rtl/>
              </w:rPr>
            </w:pPr>
          </w:p>
        </w:tc>
      </w:tr>
      <w:tr w:rsidR="00D60144" w:rsidTr="00D60144">
        <w:tc>
          <w:tcPr>
            <w:tcW w:w="2140" w:type="dxa"/>
          </w:tcPr>
          <w:p w:rsidR="00D60144" w:rsidRDefault="00D60144">
            <w:pPr>
              <w:rPr>
                <w:rFonts w:hint="cs"/>
                <w:rtl/>
              </w:rPr>
            </w:pPr>
            <w:r>
              <w:rPr>
                <w:rFonts w:hint="cs"/>
                <w:rtl/>
              </w:rPr>
              <w:t>אייר-</w:t>
            </w:r>
            <w:proofErr w:type="spellStart"/>
            <w:r>
              <w:rPr>
                <w:rFonts w:hint="cs"/>
                <w:rtl/>
              </w:rPr>
              <w:t>סיון</w:t>
            </w:r>
            <w:proofErr w:type="spellEnd"/>
          </w:p>
        </w:tc>
        <w:tc>
          <w:tcPr>
            <w:tcW w:w="2221" w:type="dxa"/>
          </w:tcPr>
          <w:p w:rsidR="00D60144" w:rsidRDefault="00D60144">
            <w:pPr>
              <w:rPr>
                <w:rtl/>
              </w:rPr>
            </w:pPr>
            <w:proofErr w:type="spellStart"/>
            <w:r>
              <w:rPr>
                <w:rFonts w:hint="cs"/>
                <w:rtl/>
              </w:rPr>
              <w:t>ב"ק</w:t>
            </w:r>
            <w:proofErr w:type="spellEnd"/>
            <w:r>
              <w:rPr>
                <w:rFonts w:hint="cs"/>
                <w:rtl/>
              </w:rPr>
              <w:t xml:space="preserve"> ו, א-ו</w:t>
            </w:r>
          </w:p>
        </w:tc>
        <w:tc>
          <w:tcPr>
            <w:tcW w:w="2168" w:type="dxa"/>
          </w:tcPr>
          <w:p w:rsidR="00D60144" w:rsidRDefault="001436DC">
            <w:pPr>
              <w:rPr>
                <w:rtl/>
              </w:rPr>
            </w:pPr>
            <w:r>
              <w:rPr>
                <w:rFonts w:hint="cs"/>
                <w:rtl/>
              </w:rPr>
              <w:t>יחידות 30-34</w:t>
            </w:r>
          </w:p>
        </w:tc>
        <w:tc>
          <w:tcPr>
            <w:tcW w:w="1993" w:type="dxa"/>
          </w:tcPr>
          <w:p w:rsidR="00D60144" w:rsidRPr="00EE1119" w:rsidRDefault="00EE1119">
            <w:pPr>
              <w:rPr>
                <w:sz w:val="18"/>
                <w:szCs w:val="18"/>
                <w:rtl/>
              </w:rPr>
            </w:pPr>
            <w:r>
              <w:rPr>
                <w:rFonts w:hint="cs"/>
                <w:sz w:val="18"/>
                <w:szCs w:val="18"/>
                <w:rtl/>
              </w:rPr>
              <w:t xml:space="preserve">יש לחזור על עיקרי הדברים ממסכת בבא קמא שנלמדו בתחילת השנה </w:t>
            </w:r>
            <w:r>
              <w:rPr>
                <w:sz w:val="18"/>
                <w:szCs w:val="18"/>
                <w:rtl/>
              </w:rPr>
              <w:t>–</w:t>
            </w:r>
            <w:r>
              <w:rPr>
                <w:rFonts w:hint="cs"/>
                <w:sz w:val="18"/>
                <w:szCs w:val="18"/>
                <w:rtl/>
              </w:rPr>
              <w:t xml:space="preserve"> מהן ארבעה אבות נזיקין ובאיזה מהם עסקנו.</w:t>
            </w:r>
          </w:p>
        </w:tc>
      </w:tr>
    </w:tbl>
    <w:p w:rsidR="006D07BF" w:rsidRDefault="006A3266"/>
    <w:sectPr w:rsidR="006D07BF" w:rsidSect="00535C72">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66" w:rsidRDefault="006A3266" w:rsidP="001E6F6B">
      <w:pPr>
        <w:spacing w:after="0" w:line="240" w:lineRule="auto"/>
      </w:pPr>
      <w:r>
        <w:separator/>
      </w:r>
    </w:p>
  </w:endnote>
  <w:endnote w:type="continuationSeparator" w:id="0">
    <w:p w:rsidR="006A3266" w:rsidRDefault="006A3266" w:rsidP="001E6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66" w:rsidRDefault="006A3266" w:rsidP="001E6F6B">
      <w:pPr>
        <w:spacing w:after="0" w:line="240" w:lineRule="auto"/>
      </w:pPr>
      <w:r>
        <w:separator/>
      </w:r>
    </w:p>
  </w:footnote>
  <w:footnote w:type="continuationSeparator" w:id="0">
    <w:p w:rsidR="006A3266" w:rsidRDefault="006A3266" w:rsidP="001E6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6B" w:rsidRDefault="001E6F6B">
    <w:pPr>
      <w:pStyle w:val="a6"/>
    </w:pPr>
    <w:r w:rsidRPr="001E6F6B">
      <w:rPr>
        <w:rFonts w:cs="Arial"/>
        <w:rtl/>
      </w:rPr>
      <w:drawing>
        <wp:anchor distT="0" distB="0" distL="114300" distR="114300" simplePos="0" relativeHeight="251658240" behindDoc="1" locked="0" layoutInCell="1" allowOverlap="1">
          <wp:simplePos x="0" y="0"/>
          <wp:positionH relativeFrom="column">
            <wp:posOffset>-114935</wp:posOffset>
          </wp:positionH>
          <wp:positionV relativeFrom="paragraph">
            <wp:posOffset>-113665</wp:posOffset>
          </wp:positionV>
          <wp:extent cx="1870075" cy="1095375"/>
          <wp:effectExtent l="19050" t="0" r="0" b="0"/>
          <wp:wrapTight wrapText="bothSides">
            <wp:wrapPolygon edited="0">
              <wp:start x="-220" y="0"/>
              <wp:lineTo x="-220" y="21412"/>
              <wp:lineTo x="21563" y="21412"/>
              <wp:lineTo x="21563" y="0"/>
              <wp:lineTo x="-220" y="0"/>
            </wp:wrapPolygon>
          </wp:wrapTight>
          <wp:docPr id="1"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1"/>
                  <a:stretch>
                    <a:fillRect/>
                  </a:stretch>
                </pic:blipFill>
                <pic:spPr>
                  <a:xfrm>
                    <a:off x="0" y="0"/>
                    <a:ext cx="1870075" cy="10953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C39C4"/>
    <w:rsid w:val="001436DC"/>
    <w:rsid w:val="00152B0C"/>
    <w:rsid w:val="001B3FC2"/>
    <w:rsid w:val="001E6F6B"/>
    <w:rsid w:val="00291B51"/>
    <w:rsid w:val="003477A4"/>
    <w:rsid w:val="00417688"/>
    <w:rsid w:val="004E4D69"/>
    <w:rsid w:val="00535C72"/>
    <w:rsid w:val="00693555"/>
    <w:rsid w:val="006A3266"/>
    <w:rsid w:val="00890235"/>
    <w:rsid w:val="00BF5F28"/>
    <w:rsid w:val="00C1359F"/>
    <w:rsid w:val="00D60144"/>
    <w:rsid w:val="00EC39C4"/>
    <w:rsid w:val="00EE1119"/>
    <w:rsid w:val="00EF37C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3FC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B3FC2"/>
    <w:rPr>
      <w:rFonts w:ascii="Tahoma" w:hAnsi="Tahoma" w:cs="Tahoma"/>
      <w:sz w:val="16"/>
      <w:szCs w:val="16"/>
    </w:rPr>
  </w:style>
  <w:style w:type="paragraph" w:styleId="a6">
    <w:name w:val="header"/>
    <w:basedOn w:val="a"/>
    <w:link w:val="a7"/>
    <w:uiPriority w:val="99"/>
    <w:semiHidden/>
    <w:unhideWhenUsed/>
    <w:rsid w:val="001E6F6B"/>
    <w:pPr>
      <w:tabs>
        <w:tab w:val="center" w:pos="4153"/>
        <w:tab w:val="right" w:pos="8306"/>
      </w:tabs>
      <w:spacing w:after="0" w:line="240" w:lineRule="auto"/>
    </w:pPr>
  </w:style>
  <w:style w:type="character" w:customStyle="1" w:styleId="a7">
    <w:name w:val="כותרת עליונה תו"/>
    <w:basedOn w:val="a0"/>
    <w:link w:val="a6"/>
    <w:uiPriority w:val="99"/>
    <w:semiHidden/>
    <w:rsid w:val="001E6F6B"/>
  </w:style>
  <w:style w:type="paragraph" w:styleId="a8">
    <w:name w:val="footer"/>
    <w:basedOn w:val="a"/>
    <w:link w:val="a9"/>
    <w:uiPriority w:val="99"/>
    <w:semiHidden/>
    <w:unhideWhenUsed/>
    <w:rsid w:val="001E6F6B"/>
    <w:pPr>
      <w:tabs>
        <w:tab w:val="center" w:pos="4153"/>
        <w:tab w:val="right" w:pos="8306"/>
      </w:tabs>
      <w:spacing w:after="0" w:line="240" w:lineRule="auto"/>
    </w:pPr>
  </w:style>
  <w:style w:type="character" w:customStyle="1" w:styleId="a9">
    <w:name w:val="כותרת תחתונה תו"/>
    <w:basedOn w:val="a0"/>
    <w:link w:val="a8"/>
    <w:uiPriority w:val="99"/>
    <w:semiHidden/>
    <w:rsid w:val="001E6F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244</Words>
  <Characters>1220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רונית דרור </cp:lastModifiedBy>
  <cp:revision>8</cp:revision>
  <dcterms:created xsi:type="dcterms:W3CDTF">2015-10-12T11:45:00Z</dcterms:created>
  <dcterms:modified xsi:type="dcterms:W3CDTF">2015-10-14T09:22:00Z</dcterms:modified>
</cp:coreProperties>
</file>