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98F" w:rsidRPr="00BF0B6E" w:rsidRDefault="00EE098F" w:rsidP="00D60412">
      <w:pPr>
        <w:spacing w:after="120"/>
        <w:jc w:val="center"/>
        <w:rPr>
          <w:b/>
          <w:bCs/>
          <w:sz w:val="28"/>
          <w:szCs w:val="28"/>
          <w:rtl/>
        </w:rPr>
      </w:pPr>
      <w:r w:rsidRPr="00BF0B6E">
        <w:rPr>
          <w:rFonts w:hint="cs"/>
          <w:b/>
          <w:bCs/>
          <w:sz w:val="28"/>
          <w:szCs w:val="28"/>
          <w:rtl/>
        </w:rPr>
        <w:t>יחידה</w:t>
      </w:r>
      <w:r w:rsidR="00D60412">
        <w:rPr>
          <w:rFonts w:hint="cs"/>
          <w:b/>
          <w:bCs/>
          <w:sz w:val="28"/>
          <w:szCs w:val="28"/>
          <w:rtl/>
        </w:rPr>
        <w:t xml:space="preserve"> 14</w:t>
      </w:r>
      <w:r w:rsidRPr="00BF0B6E">
        <w:rPr>
          <w:rFonts w:hint="cs"/>
          <w:b/>
          <w:bCs/>
          <w:sz w:val="28"/>
          <w:szCs w:val="28"/>
          <w:rtl/>
        </w:rPr>
        <w:t xml:space="preserve">: </w:t>
      </w:r>
      <w:r w:rsidR="00D60412">
        <w:rPr>
          <w:rFonts w:hint="cs"/>
          <w:b/>
          <w:bCs/>
          <w:sz w:val="28"/>
          <w:szCs w:val="28"/>
          <w:rtl/>
        </w:rPr>
        <w:t>פסחים פרק ה משנה ד</w:t>
      </w:r>
      <w:r w:rsidRPr="00BF0B6E">
        <w:rPr>
          <w:rFonts w:hint="cs"/>
          <w:b/>
          <w:bCs/>
          <w:sz w:val="28"/>
          <w:szCs w:val="28"/>
          <w:rtl/>
        </w:rPr>
        <w:t xml:space="preserve"> </w:t>
      </w:r>
    </w:p>
    <w:p w:rsidR="00EE098F" w:rsidRPr="00BF0B6E" w:rsidRDefault="00D60412" w:rsidP="00EE098F">
      <w:pPr>
        <w:spacing w:after="120"/>
        <w:jc w:val="center"/>
        <w:rPr>
          <w:b/>
          <w:bCs/>
          <w:sz w:val="24"/>
          <w:szCs w:val="24"/>
          <w:rtl/>
        </w:rPr>
      </w:pPr>
      <w:r>
        <w:rPr>
          <w:rFonts w:hint="cs"/>
          <w:b/>
          <w:bCs/>
          <w:sz w:val="24"/>
          <w:szCs w:val="24"/>
          <w:rtl/>
        </w:rPr>
        <w:t>איסור חמץ בהקרבת קרבן פסח</w:t>
      </w:r>
    </w:p>
    <w:p w:rsidR="00EE098F" w:rsidRDefault="007A4334" w:rsidP="00EE098F">
      <w:pPr>
        <w:spacing w:after="120"/>
        <w:rPr>
          <w:b/>
          <w:bCs/>
          <w:rtl/>
        </w:rPr>
      </w:pPr>
      <w:r>
        <w:rPr>
          <w:rFonts w:hint="cs"/>
          <w:b/>
          <w:bCs/>
          <w:rtl/>
        </w:rPr>
        <w:t>במשנה זו התלמידים צריכים לדעת רק את הרישא של המשנה, העוסקת בכך שבזמן שחיטת קרבן הפסח אסור שיימצא חמץ אצל בני החבורה הנמנים על הקרבן.</w:t>
      </w:r>
    </w:p>
    <w:p w:rsidR="00EE098F" w:rsidRDefault="00EE098F" w:rsidP="00EE098F">
      <w:pPr>
        <w:spacing w:after="120"/>
        <w:rPr>
          <w:b/>
          <w:bCs/>
          <w:rtl/>
        </w:rPr>
      </w:pPr>
      <w:r>
        <w:rPr>
          <w:rFonts w:hint="cs"/>
          <w:b/>
          <w:bCs/>
          <w:rtl/>
        </w:rPr>
        <w:t>משך הוראה מומלץ:</w:t>
      </w:r>
      <w:r w:rsidR="007A4334">
        <w:rPr>
          <w:rFonts w:hint="cs"/>
          <w:b/>
          <w:bCs/>
          <w:rtl/>
        </w:rPr>
        <w:t xml:space="preserve"> שיעור אחד</w:t>
      </w:r>
    </w:p>
    <w:p w:rsidR="00EE098F" w:rsidRPr="00EB1F7A" w:rsidRDefault="00EE098F" w:rsidP="00EE098F">
      <w:pPr>
        <w:spacing w:after="120"/>
        <w:rPr>
          <w:b/>
          <w:bCs/>
          <w:rtl/>
        </w:rPr>
      </w:pPr>
    </w:p>
    <w:p w:rsidR="00EE098F" w:rsidRDefault="00EE098F" w:rsidP="00EE098F">
      <w:pPr>
        <w:spacing w:after="120"/>
        <w:rPr>
          <w:rFonts w:hint="cs"/>
          <w:rtl/>
        </w:rPr>
      </w:pPr>
      <w:r w:rsidRPr="00A037E6">
        <w:rPr>
          <w:b/>
          <w:bCs/>
          <w:rtl/>
        </w:rPr>
        <w:t>מטרות</w:t>
      </w:r>
    </w:p>
    <w:p w:rsidR="007A4334" w:rsidRDefault="007A4334" w:rsidP="00EE098F">
      <w:pPr>
        <w:spacing w:after="120"/>
        <w:rPr>
          <w:rFonts w:hint="cs"/>
          <w:rtl/>
        </w:rPr>
      </w:pPr>
      <w:r>
        <w:rPr>
          <w:rFonts w:hint="cs"/>
          <w:rtl/>
        </w:rPr>
        <w:t>1. הישג מבנה: התלמיד יארגן את המשנה לפי רכיבי הכאמד"ט.</w:t>
      </w:r>
    </w:p>
    <w:p w:rsidR="007A4334" w:rsidRDefault="007A4334" w:rsidP="00EE098F">
      <w:pPr>
        <w:spacing w:after="120"/>
        <w:rPr>
          <w:rFonts w:hint="cs"/>
          <w:rtl/>
        </w:rPr>
      </w:pPr>
      <w:r>
        <w:rPr>
          <w:rFonts w:hint="cs"/>
          <w:rtl/>
        </w:rPr>
        <w:t>2. הישג מושגי תוכן: התלמיד יידע למה הכוונה "עובר בלא תעשה".</w:t>
      </w:r>
    </w:p>
    <w:p w:rsidR="007A4334" w:rsidRDefault="007A4334" w:rsidP="00EE098F">
      <w:pPr>
        <w:spacing w:after="120"/>
        <w:rPr>
          <w:rFonts w:hint="cs"/>
          <w:rtl/>
        </w:rPr>
      </w:pPr>
      <w:r>
        <w:rPr>
          <w:rFonts w:hint="cs"/>
          <w:rtl/>
        </w:rPr>
        <w:t>3. הישג הבנה ופרשנות: התלמיד יבין את האיסור לשחוט על החמץ, ואת דעת רבי יהודה המופיעה במשנה.</w:t>
      </w:r>
    </w:p>
    <w:p w:rsidR="007A4334" w:rsidRPr="00A037E6" w:rsidRDefault="007A4334" w:rsidP="00EE098F">
      <w:pPr>
        <w:spacing w:after="120"/>
        <w:rPr>
          <w:rtl/>
        </w:rPr>
      </w:pPr>
      <w:r>
        <w:rPr>
          <w:rFonts w:hint="cs"/>
          <w:rtl/>
        </w:rPr>
        <w:t>4. הישג תורת חיים: התלמיד ילמד מהמשנה על כך שפעמים רבות יש לאדם אחריות על מה שמתרחש אצל אדם אחר.</w:t>
      </w:r>
    </w:p>
    <w:p w:rsidR="00EE098F" w:rsidRPr="007A4334" w:rsidRDefault="00EE098F" w:rsidP="00EE098F">
      <w:pPr>
        <w:spacing w:after="120"/>
        <w:rPr>
          <w:rtl/>
        </w:rPr>
      </w:pPr>
      <w:r w:rsidRPr="00A037E6">
        <w:t> </w:t>
      </w:r>
    </w:p>
    <w:p w:rsidR="00EE098F" w:rsidRPr="00A037E6" w:rsidRDefault="00EE098F" w:rsidP="00EE098F">
      <w:pPr>
        <w:spacing w:after="120"/>
      </w:pPr>
      <w:r w:rsidRPr="00A037E6">
        <w:rPr>
          <w:b/>
          <w:bCs/>
          <w:rtl/>
        </w:rPr>
        <w:t>גוף השיעור</w:t>
      </w:r>
    </w:p>
    <w:p w:rsidR="006D07BF" w:rsidRPr="00FD4916" w:rsidRDefault="007A4334" w:rsidP="007A4334">
      <w:pPr>
        <w:spacing w:after="120"/>
        <w:rPr>
          <w:rFonts w:hint="cs"/>
          <w:b/>
          <w:bCs/>
          <w:rtl/>
        </w:rPr>
      </w:pPr>
      <w:r w:rsidRPr="00FD4916">
        <w:rPr>
          <w:rFonts w:hint="cs"/>
          <w:b/>
          <w:bCs/>
          <w:rtl/>
        </w:rPr>
        <w:t>א. מושגי תוכן</w:t>
      </w:r>
    </w:p>
    <w:p w:rsidR="007A4334" w:rsidRDefault="007A4334" w:rsidP="007A4334">
      <w:pPr>
        <w:spacing w:after="120"/>
        <w:rPr>
          <w:rFonts w:hint="cs"/>
          <w:rtl/>
        </w:rPr>
      </w:pPr>
      <w:r>
        <w:rPr>
          <w:rFonts w:hint="cs"/>
          <w:rtl/>
        </w:rPr>
        <w:t>בחוברת הסבר על מהן מצוות עשה ומהן מצוות לא תעשה כדי להסביר את כוונת המשנה במילים 'עובר בלא תעשה'. במידה וזה ידוע לתלמידים אין חובה להתעכב על כך.</w:t>
      </w:r>
    </w:p>
    <w:p w:rsidR="007A4334" w:rsidRDefault="007A4334" w:rsidP="007A4334">
      <w:pPr>
        <w:spacing w:after="120"/>
        <w:rPr>
          <w:rFonts w:hint="cs"/>
          <w:rtl/>
        </w:rPr>
      </w:pPr>
    </w:p>
    <w:p w:rsidR="007A4334" w:rsidRPr="00FD4916" w:rsidRDefault="007A4334" w:rsidP="007A4334">
      <w:pPr>
        <w:spacing w:after="120"/>
        <w:rPr>
          <w:rFonts w:hint="cs"/>
          <w:b/>
          <w:bCs/>
          <w:rtl/>
        </w:rPr>
      </w:pPr>
      <w:r w:rsidRPr="00FD4916">
        <w:rPr>
          <w:rFonts w:hint="cs"/>
          <w:b/>
          <w:bCs/>
          <w:rtl/>
        </w:rPr>
        <w:t>ב. הישג מבנה</w:t>
      </w:r>
    </w:p>
    <w:p w:rsidR="007A4334" w:rsidRDefault="007A4334" w:rsidP="007A4334">
      <w:pPr>
        <w:spacing w:after="120"/>
        <w:rPr>
          <w:rFonts w:hint="cs"/>
          <w:rtl/>
        </w:rPr>
      </w:pPr>
      <w:r>
        <w:rPr>
          <w:rFonts w:hint="cs"/>
          <w:rtl/>
        </w:rPr>
        <w:t xml:space="preserve">התרשים פשוט לבניה, מלבד דעת רבי יהודה: "אף התמיד" </w:t>
      </w:r>
      <w:r>
        <w:rPr>
          <w:rtl/>
        </w:rPr>
        <w:t>–</w:t>
      </w:r>
      <w:r>
        <w:rPr>
          <w:rFonts w:hint="cs"/>
          <w:rtl/>
        </w:rPr>
        <w:t xml:space="preserve"> ניתן לסמן זאת כדין, וניתן לסמן זאת כמקרה שהדין גם שלו הוא 'עובר בלא תעשה'.</w:t>
      </w:r>
    </w:p>
    <w:p w:rsidR="00FD4916" w:rsidRDefault="00FD4916" w:rsidP="007A4334">
      <w:pPr>
        <w:spacing w:after="120"/>
        <w:rPr>
          <w:rFonts w:hint="cs"/>
          <w:rtl/>
        </w:rPr>
      </w:pPr>
      <w:r>
        <w:rPr>
          <w:rFonts w:hint="cs"/>
          <w:rtl/>
        </w:rPr>
        <w:t xml:space="preserve">אפשר לבנות את התרשים כך, ואפשר לסמן את 'אף התמיד' כדין ולא לקשר אותו </w:t>
      </w:r>
      <w:proofErr w:type="spellStart"/>
      <w:r>
        <w:rPr>
          <w:rFonts w:hint="cs"/>
          <w:rtl/>
        </w:rPr>
        <w:t>ל'עובר</w:t>
      </w:r>
      <w:proofErr w:type="spellEnd"/>
      <w:r>
        <w:rPr>
          <w:rFonts w:hint="cs"/>
          <w:rtl/>
        </w:rPr>
        <w:t xml:space="preserve"> בלא תעשה'.</w:t>
      </w:r>
    </w:p>
    <w:p w:rsidR="00D256FB" w:rsidRDefault="00FD4916" w:rsidP="007A4334">
      <w:pPr>
        <w:spacing w:after="120"/>
        <w:rPr>
          <w:rFonts w:hint="cs"/>
          <w:rtl/>
        </w:rPr>
      </w:pPr>
      <w:r>
        <w:rPr>
          <w:rFonts w:cs="Arial"/>
          <w:noProof/>
          <w:rtl/>
        </w:rPr>
        <w:lastRenderedPageBreak/>
        <w:drawing>
          <wp:inline distT="0" distB="0" distL="0" distR="0">
            <wp:extent cx="4345781" cy="3476625"/>
            <wp:effectExtent l="19050" t="0" r="0" b="0"/>
            <wp:docPr id="2" name="תמונה 1" descr="C:\Users\צבי\Dropbox\Screenshots\פסחים ה,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צבי\Dropbox\Screenshots\פסחים ה,ד.png"/>
                    <pic:cNvPicPr>
                      <a:picLocks noChangeAspect="1" noChangeArrowheads="1"/>
                    </pic:cNvPicPr>
                  </pic:nvPicPr>
                  <pic:blipFill>
                    <a:blip r:embed="rId6" cstate="print"/>
                    <a:srcRect/>
                    <a:stretch>
                      <a:fillRect/>
                    </a:stretch>
                  </pic:blipFill>
                  <pic:spPr bwMode="auto">
                    <a:xfrm>
                      <a:off x="0" y="0"/>
                      <a:ext cx="4342891" cy="3474313"/>
                    </a:xfrm>
                    <a:prstGeom prst="rect">
                      <a:avLst/>
                    </a:prstGeom>
                    <a:noFill/>
                    <a:ln w="9525">
                      <a:noFill/>
                      <a:miter lim="800000"/>
                      <a:headEnd/>
                      <a:tailEnd/>
                    </a:ln>
                  </pic:spPr>
                </pic:pic>
              </a:graphicData>
            </a:graphic>
          </wp:inline>
        </w:drawing>
      </w:r>
    </w:p>
    <w:p w:rsidR="00D256FB" w:rsidRDefault="00D256FB" w:rsidP="007A4334">
      <w:pPr>
        <w:spacing w:after="120"/>
        <w:rPr>
          <w:rFonts w:hint="cs"/>
          <w:rtl/>
        </w:rPr>
      </w:pPr>
    </w:p>
    <w:p w:rsidR="00116620" w:rsidRPr="00116620" w:rsidRDefault="00116620" w:rsidP="007A4334">
      <w:pPr>
        <w:spacing w:after="120"/>
        <w:rPr>
          <w:rFonts w:hint="cs"/>
          <w:b/>
          <w:bCs/>
          <w:rtl/>
        </w:rPr>
      </w:pPr>
      <w:r w:rsidRPr="00116620">
        <w:rPr>
          <w:rFonts w:hint="cs"/>
          <w:b/>
          <w:bCs/>
          <w:rtl/>
        </w:rPr>
        <w:t>ג. הבנה ופרשנות</w:t>
      </w:r>
    </w:p>
    <w:p w:rsidR="00116620" w:rsidRDefault="00116620" w:rsidP="007A4334">
      <w:pPr>
        <w:spacing w:after="120"/>
        <w:rPr>
          <w:rFonts w:hint="cs"/>
          <w:rtl/>
        </w:rPr>
      </w:pPr>
      <w:r>
        <w:rPr>
          <w:rFonts w:hint="cs"/>
          <w:rtl/>
        </w:rPr>
        <w:t xml:space="preserve">משימה 2 עוסקת בהבנת דעת תנא קמא באמצעות פירושו של ר' עובדיה מברטנורא. חשוב שיבינו </w:t>
      </w:r>
      <w:proofErr w:type="spellStart"/>
      <w:r>
        <w:rPr>
          <w:rFonts w:hint="cs"/>
          <w:rtl/>
        </w:rPr>
        <w:t>ש'על</w:t>
      </w:r>
      <w:proofErr w:type="spellEnd"/>
      <w:r>
        <w:rPr>
          <w:rFonts w:hint="cs"/>
          <w:rtl/>
        </w:rPr>
        <w:t xml:space="preserve"> החמץ' אין הכוונה שממש יש חמץ בבית המקדש, אלא שיש חמץ אצל מישהו מבני החבורה שנמנתה על הקרבן.</w:t>
      </w:r>
    </w:p>
    <w:p w:rsidR="00116620" w:rsidRDefault="00116620" w:rsidP="007A4334">
      <w:pPr>
        <w:spacing w:after="120"/>
        <w:rPr>
          <w:rFonts w:hint="cs"/>
          <w:rtl/>
        </w:rPr>
      </w:pPr>
      <w:r>
        <w:rPr>
          <w:rFonts w:hint="cs"/>
          <w:rtl/>
        </w:rPr>
        <w:t>משימה 3 עוסקת בהבנת דעת רבי יהודה, כאשר הסעיף החשוב הוא סעיף ב שבו דעת רבי יהודה כתובה במלואה. סעיף ג משווה בין דעת תנא קמא לדעת רבי יהודה.</w:t>
      </w:r>
    </w:p>
    <w:p w:rsidR="00116620" w:rsidRDefault="00116620" w:rsidP="007A4334">
      <w:pPr>
        <w:spacing w:after="120"/>
        <w:rPr>
          <w:rFonts w:hint="cs"/>
          <w:rtl/>
        </w:rPr>
      </w:pPr>
      <w:r>
        <w:rPr>
          <w:rFonts w:hint="cs"/>
          <w:rtl/>
        </w:rPr>
        <w:t>משימת האתגר מקשרת בין זמני ביעור חמץ לבין זמני הקרבת קרבן פסח והאיסור לשחוט על החמץ באמצעות ציר הזמן.</w:t>
      </w:r>
    </w:p>
    <w:p w:rsidR="00116620" w:rsidRDefault="00116620" w:rsidP="007A4334">
      <w:pPr>
        <w:spacing w:after="120"/>
        <w:rPr>
          <w:rFonts w:hint="cs"/>
          <w:rtl/>
        </w:rPr>
      </w:pPr>
    </w:p>
    <w:p w:rsidR="00116620" w:rsidRPr="00116620" w:rsidRDefault="00116620" w:rsidP="007A4334">
      <w:pPr>
        <w:spacing w:after="120"/>
        <w:rPr>
          <w:rFonts w:hint="cs"/>
          <w:b/>
          <w:bCs/>
          <w:rtl/>
        </w:rPr>
      </w:pPr>
      <w:r w:rsidRPr="00116620">
        <w:rPr>
          <w:rFonts w:hint="cs"/>
          <w:b/>
          <w:bCs/>
          <w:rtl/>
        </w:rPr>
        <w:t>ד. תורת חיים</w:t>
      </w:r>
    </w:p>
    <w:p w:rsidR="00116620" w:rsidRDefault="00116620" w:rsidP="007A4334">
      <w:pPr>
        <w:spacing w:after="120"/>
        <w:rPr>
          <w:rFonts w:hint="cs"/>
          <w:rtl/>
        </w:rPr>
      </w:pPr>
      <w:r>
        <w:rPr>
          <w:rFonts w:hint="cs"/>
          <w:rtl/>
        </w:rPr>
        <w:t>דבריה של חן מעלים את העובדה שאם יש חמץ אצל אחד מבני החבורה הוא גורם למי ששוחט את הפסח לעבור על איסור. יש כאן אחריות של אחד כלפי השני. חן 'מזמינה' את התלמידים לתת דוגמה לכך מחייהם.</w:t>
      </w:r>
    </w:p>
    <w:p w:rsidR="00116620" w:rsidRDefault="00116620" w:rsidP="007A4334">
      <w:pPr>
        <w:spacing w:after="120"/>
        <w:rPr>
          <w:rFonts w:hint="cs"/>
          <w:rtl/>
        </w:rPr>
      </w:pPr>
      <w:r>
        <w:rPr>
          <w:rFonts w:hint="cs"/>
          <w:rtl/>
        </w:rPr>
        <w:t>הדוגמאות יכולות לעסוק בהתנהגות שלילית בכיתה שמשפיעה על האחרים, בעבודה משותפת שאחד לא עושה את תפקידו, במשחק משותף שמישהו פוגע בו בדרך כלשהי ועוד.</w:t>
      </w:r>
    </w:p>
    <w:p w:rsidR="00116620" w:rsidRPr="00EE098F" w:rsidRDefault="00116620" w:rsidP="007A4334">
      <w:pPr>
        <w:spacing w:after="120"/>
      </w:pPr>
    </w:p>
    <w:sectPr w:rsidR="00116620" w:rsidRPr="00EE098F" w:rsidSect="00535C7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4B1" w:rsidRDefault="00FF04B1" w:rsidP="00EE098F">
      <w:pPr>
        <w:spacing w:after="0" w:line="240" w:lineRule="auto"/>
      </w:pPr>
      <w:r>
        <w:separator/>
      </w:r>
    </w:p>
  </w:endnote>
  <w:endnote w:type="continuationSeparator" w:id="0">
    <w:p w:rsidR="00FF04B1" w:rsidRDefault="00FF04B1" w:rsidP="00EE0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98F" w:rsidRPr="00EE098F" w:rsidRDefault="00EE098F" w:rsidP="00EE098F">
    <w:pPr>
      <w:pStyle w:val="a5"/>
      <w:jc w:val="center"/>
      <w:rPr>
        <w:b/>
        <w:bCs/>
        <w:color w:val="31849B" w:themeColor="accent5" w:themeShade="BF"/>
      </w:rPr>
    </w:pPr>
    <w:r>
      <w:rPr>
        <w:rFonts w:hint="cs"/>
        <w:b/>
        <w:bCs/>
        <w:color w:val="31849B" w:themeColor="accent5" w:themeShade="BF"/>
        <w:rtl/>
      </w:rPr>
      <w:t>כל הזכויות שמורות למרכז הלכה והוראה ולגמרא ברורה</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4B1" w:rsidRDefault="00FF04B1" w:rsidP="00EE098F">
      <w:pPr>
        <w:spacing w:after="0" w:line="240" w:lineRule="auto"/>
      </w:pPr>
      <w:r>
        <w:separator/>
      </w:r>
    </w:p>
  </w:footnote>
  <w:footnote w:type="continuationSeparator" w:id="0">
    <w:p w:rsidR="00FF04B1" w:rsidRDefault="00FF04B1" w:rsidP="00EE09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98F" w:rsidRDefault="00EE098F" w:rsidP="00EE098F">
    <w:pPr>
      <w:pStyle w:val="a3"/>
      <w:jc w:val="center"/>
    </w:pPr>
    <w:r w:rsidRPr="00EE098F">
      <w:rPr>
        <w:rFonts w:cs="Arial"/>
        <w:noProof/>
        <w:rtl/>
      </w:rPr>
      <w:drawing>
        <wp:inline distT="0" distB="0" distL="0" distR="0">
          <wp:extent cx="1866291" cy="1095375"/>
          <wp:effectExtent l="19050" t="0" r="609" b="0"/>
          <wp:docPr id="1" name="תמונה 0" descr="Screen Shot 2014-11-27 at 16.3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1-27 at 16.32.39.png"/>
                  <pic:cNvPicPr/>
                </pic:nvPicPr>
                <pic:blipFill>
                  <a:blip r:embed="rId1"/>
                  <a:stretch>
                    <a:fillRect/>
                  </a:stretch>
                </pic:blipFill>
                <pic:spPr>
                  <a:xfrm>
                    <a:off x="0" y="0"/>
                    <a:ext cx="1869173" cy="1097067"/>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E098F"/>
    <w:rsid w:val="00116620"/>
    <w:rsid w:val="003D1F0B"/>
    <w:rsid w:val="00417688"/>
    <w:rsid w:val="00535C72"/>
    <w:rsid w:val="005B6148"/>
    <w:rsid w:val="007A0438"/>
    <w:rsid w:val="007A4334"/>
    <w:rsid w:val="00D14799"/>
    <w:rsid w:val="00D256FB"/>
    <w:rsid w:val="00D60412"/>
    <w:rsid w:val="00EE098F"/>
    <w:rsid w:val="00FD4916"/>
    <w:rsid w:val="00FF04B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98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E098F"/>
    <w:pPr>
      <w:tabs>
        <w:tab w:val="center" w:pos="4153"/>
        <w:tab w:val="right" w:pos="8306"/>
      </w:tabs>
      <w:spacing w:after="0" w:line="240" w:lineRule="auto"/>
    </w:pPr>
  </w:style>
  <w:style w:type="character" w:customStyle="1" w:styleId="a4">
    <w:name w:val="כותרת עליונה תו"/>
    <w:basedOn w:val="a0"/>
    <w:link w:val="a3"/>
    <w:uiPriority w:val="99"/>
    <w:semiHidden/>
    <w:rsid w:val="00EE098F"/>
  </w:style>
  <w:style w:type="paragraph" w:styleId="a5">
    <w:name w:val="footer"/>
    <w:basedOn w:val="a"/>
    <w:link w:val="a6"/>
    <w:uiPriority w:val="99"/>
    <w:semiHidden/>
    <w:unhideWhenUsed/>
    <w:rsid w:val="00EE098F"/>
    <w:pPr>
      <w:tabs>
        <w:tab w:val="center" w:pos="4153"/>
        <w:tab w:val="right" w:pos="8306"/>
      </w:tabs>
      <w:spacing w:after="0" w:line="240" w:lineRule="auto"/>
    </w:pPr>
  </w:style>
  <w:style w:type="character" w:customStyle="1" w:styleId="a6">
    <w:name w:val="כותרת תחתונה תו"/>
    <w:basedOn w:val="a0"/>
    <w:link w:val="a5"/>
    <w:uiPriority w:val="99"/>
    <w:semiHidden/>
    <w:rsid w:val="00EE098F"/>
  </w:style>
  <w:style w:type="paragraph" w:styleId="a7">
    <w:name w:val="Balloon Text"/>
    <w:basedOn w:val="a"/>
    <w:link w:val="a8"/>
    <w:uiPriority w:val="99"/>
    <w:semiHidden/>
    <w:unhideWhenUsed/>
    <w:rsid w:val="00EE098F"/>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EE09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284</Words>
  <Characters>1423</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רונית</dc:creator>
  <cp:lastModifiedBy>רונית </cp:lastModifiedBy>
  <cp:revision>5</cp:revision>
  <dcterms:created xsi:type="dcterms:W3CDTF">2015-03-24T12:19:00Z</dcterms:created>
  <dcterms:modified xsi:type="dcterms:W3CDTF">2015-03-24T12:43:00Z</dcterms:modified>
</cp:coreProperties>
</file>